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F0D" w14:textId="77777777" w:rsidR="00965759" w:rsidRPr="00CE3895" w:rsidRDefault="00965759" w:rsidP="00965759">
      <w:pPr>
        <w:jc w:val="center"/>
        <w:rPr>
          <w:lang w:val="tr-TR"/>
        </w:rPr>
      </w:pPr>
      <w:r w:rsidRPr="00CE3895">
        <w:rPr>
          <w:lang w:val="tr-TR"/>
        </w:rPr>
        <w:t>ELEKTRONİK HABERLEŞME YASA</w:t>
      </w:r>
      <w:r w:rsidR="00307DFD" w:rsidRPr="00CE3895">
        <w:rPr>
          <w:lang w:val="tr-TR"/>
        </w:rPr>
        <w:t>SI</w:t>
      </w:r>
    </w:p>
    <w:p w14:paraId="56847FF1" w14:textId="77777777" w:rsidR="00307DFD" w:rsidRPr="00CE3895" w:rsidRDefault="00571961" w:rsidP="00965759">
      <w:pPr>
        <w:jc w:val="center"/>
        <w:rPr>
          <w:lang w:val="tr-TR"/>
        </w:rPr>
      </w:pPr>
      <w:r w:rsidRPr="00CE3895">
        <w:rPr>
          <w:lang w:val="tr-TR"/>
        </w:rPr>
        <w:t>(6/2012,</w:t>
      </w:r>
      <w:r w:rsidR="00307DFD" w:rsidRPr="00CE3895">
        <w:rPr>
          <w:lang w:val="tr-TR"/>
        </w:rPr>
        <w:t xml:space="preserve"> 21/2014</w:t>
      </w:r>
      <w:r w:rsidR="00CB5CEE" w:rsidRPr="00CE3895">
        <w:rPr>
          <w:lang w:val="tr-TR"/>
        </w:rPr>
        <w:t>,</w:t>
      </w:r>
      <w:r w:rsidRPr="00CE3895">
        <w:rPr>
          <w:lang w:val="tr-TR"/>
        </w:rPr>
        <w:t xml:space="preserve"> 39/2016</w:t>
      </w:r>
      <w:r w:rsidR="00CB5CEE" w:rsidRPr="00CE3895">
        <w:rPr>
          <w:lang w:val="tr-TR"/>
        </w:rPr>
        <w:t>, 27/2019 ve 31/2019</w:t>
      </w:r>
      <w:r w:rsidR="00307DFD" w:rsidRPr="00CE3895">
        <w:rPr>
          <w:lang w:val="tr-TR"/>
        </w:rPr>
        <w:t xml:space="preserve"> sayılı yasalar)</w:t>
      </w:r>
    </w:p>
    <w:p w14:paraId="342D1F90" w14:textId="77777777" w:rsidR="00307DFD" w:rsidRPr="00CE3895" w:rsidRDefault="00307DFD" w:rsidP="00965759">
      <w:pPr>
        <w:jc w:val="center"/>
        <w:rPr>
          <w:lang w:val="tr-TR"/>
        </w:rPr>
      </w:pPr>
    </w:p>
    <w:p w14:paraId="42209714" w14:textId="77777777" w:rsidR="00307DFD" w:rsidRPr="00CE3895" w:rsidRDefault="00307DFD" w:rsidP="00965759">
      <w:pPr>
        <w:jc w:val="center"/>
        <w:rPr>
          <w:lang w:val="tr-TR"/>
        </w:rPr>
      </w:pPr>
    </w:p>
    <w:p w14:paraId="7750A3D8" w14:textId="77777777" w:rsidR="00307DFD" w:rsidRPr="00CE3895" w:rsidRDefault="00307DFD" w:rsidP="00965759">
      <w:pPr>
        <w:jc w:val="center"/>
        <w:rPr>
          <w:lang w:val="tr-TR"/>
        </w:rPr>
      </w:pPr>
      <w:r w:rsidRPr="00CE3895">
        <w:rPr>
          <w:lang w:val="tr-TR"/>
        </w:rPr>
        <w:t xml:space="preserve">Madde </w:t>
      </w:r>
      <w:r w:rsidR="00CB5CEE" w:rsidRPr="00CE3895">
        <w:rPr>
          <w:lang w:val="tr-TR"/>
        </w:rPr>
        <w:t xml:space="preserve">29, 30, 59, 63, 75, 86 </w:t>
      </w:r>
      <w:r w:rsidRPr="00CE3895">
        <w:rPr>
          <w:lang w:val="tr-TR"/>
        </w:rPr>
        <w:t>Ta</w:t>
      </w:r>
      <w:r w:rsidR="00C54EDA" w:rsidRPr="00CE3895">
        <w:rPr>
          <w:lang w:val="tr-TR"/>
        </w:rPr>
        <w:t>h</w:t>
      </w:r>
      <w:r w:rsidRPr="00CE3895">
        <w:rPr>
          <w:lang w:val="tr-TR"/>
        </w:rPr>
        <w:t>tında Tüzük</w:t>
      </w:r>
    </w:p>
    <w:p w14:paraId="6BAA7D8B" w14:textId="5B314806" w:rsidR="00965759" w:rsidRPr="00CE3895" w:rsidRDefault="00965759" w:rsidP="00965759">
      <w:pPr>
        <w:jc w:val="center"/>
        <w:rPr>
          <w:lang w:val="tr-TR"/>
        </w:rPr>
      </w:pPr>
    </w:p>
    <w:p w14:paraId="0CA4FDAD" w14:textId="77777777" w:rsidR="00CE3895" w:rsidRPr="00CE3895" w:rsidRDefault="00CE3895" w:rsidP="00965759">
      <w:pPr>
        <w:jc w:val="center"/>
        <w:rPr>
          <w:lang w:val="tr-TR"/>
        </w:rPr>
      </w:pPr>
    </w:p>
    <w:tbl>
      <w:tblPr>
        <w:tblW w:w="8815" w:type="dxa"/>
        <w:tblLayout w:type="fixed"/>
        <w:tblLook w:val="01E0" w:firstRow="1" w:lastRow="1" w:firstColumn="1" w:lastColumn="1" w:noHBand="0" w:noVBand="0"/>
      </w:tblPr>
      <w:tblGrid>
        <w:gridCol w:w="1714"/>
        <w:gridCol w:w="408"/>
        <w:gridCol w:w="6661"/>
        <w:gridCol w:w="32"/>
      </w:tblGrid>
      <w:tr w:rsidR="00720CBB" w:rsidRPr="00CE3895" w14:paraId="2209BC13" w14:textId="77777777" w:rsidTr="00D90B72">
        <w:trPr>
          <w:gridAfter w:val="1"/>
          <w:wAfter w:w="32" w:type="dxa"/>
        </w:trPr>
        <w:tc>
          <w:tcPr>
            <w:tcW w:w="8783" w:type="dxa"/>
            <w:gridSpan w:val="3"/>
          </w:tcPr>
          <w:p w14:paraId="7F289BD6" w14:textId="77777777" w:rsidR="00720CBB" w:rsidRPr="00CE3895" w:rsidRDefault="00720CBB" w:rsidP="0079078A">
            <w:pPr>
              <w:jc w:val="both"/>
              <w:outlineLvl w:val="0"/>
              <w:rPr>
                <w:lang w:val="tr-TR"/>
              </w:rPr>
            </w:pPr>
            <w:bookmarkStart w:id="0" w:name="_GoBack"/>
            <w:r w:rsidRPr="00CE3895">
              <w:rPr>
                <w:lang w:val="tr-TR"/>
              </w:rPr>
              <w:t xml:space="preserve">     Kuzey Kıbrıs Türk Cumhuriyeti Bakanlar Kurulu, Elektronik Haberleşme Yasası’nın </w:t>
            </w:r>
            <w:r w:rsidR="00CB5CEE" w:rsidRPr="00CE3895">
              <w:rPr>
                <w:lang w:val="tr-TR"/>
              </w:rPr>
              <w:t>29’uncu, 30’uncu, 59’uncu, 63’üncü, 75’inci ve 86’ncı</w:t>
            </w:r>
            <w:r w:rsidRPr="00CE3895">
              <w:rPr>
                <w:lang w:val="tr-TR"/>
              </w:rPr>
              <w:t xml:space="preserve"> maddelerinin kendisine verdiği yetkiye dayanarak aşağıdaki Tüzüğü yapar:</w:t>
            </w:r>
          </w:p>
          <w:p w14:paraId="34D2F434" w14:textId="77777777" w:rsidR="00CE3895" w:rsidRPr="00CE3895" w:rsidRDefault="00CE3895" w:rsidP="0079078A">
            <w:pPr>
              <w:jc w:val="both"/>
              <w:outlineLvl w:val="0"/>
              <w:rPr>
                <w:lang w:val="tr-TR"/>
              </w:rPr>
            </w:pPr>
          </w:p>
          <w:p w14:paraId="069F22E1" w14:textId="30A4941D" w:rsidR="00CE3895" w:rsidRPr="00CE3895" w:rsidRDefault="00CE3895" w:rsidP="0079078A">
            <w:pPr>
              <w:jc w:val="both"/>
              <w:outlineLvl w:val="0"/>
              <w:rPr>
                <w:lang w:val="tr-TR"/>
              </w:rPr>
            </w:pPr>
          </w:p>
        </w:tc>
      </w:tr>
      <w:bookmarkEnd w:id="0"/>
      <w:tr w:rsidR="00965759" w:rsidRPr="00CE3895" w14:paraId="3067D4F0" w14:textId="77777777" w:rsidTr="00D90B72">
        <w:tc>
          <w:tcPr>
            <w:tcW w:w="1714" w:type="dxa"/>
          </w:tcPr>
          <w:p w14:paraId="6A80F06E" w14:textId="77777777" w:rsidR="00965759" w:rsidRPr="00CE3895" w:rsidRDefault="00965759" w:rsidP="0079078A">
            <w:pPr>
              <w:jc w:val="center"/>
              <w:outlineLvl w:val="0"/>
              <w:rPr>
                <w:lang w:val="tr-TR"/>
              </w:rPr>
            </w:pPr>
          </w:p>
        </w:tc>
        <w:tc>
          <w:tcPr>
            <w:tcW w:w="7101" w:type="dxa"/>
            <w:gridSpan w:val="3"/>
          </w:tcPr>
          <w:p w14:paraId="6F948965" w14:textId="77777777" w:rsidR="00965759" w:rsidRPr="00CE3895" w:rsidRDefault="00965759" w:rsidP="0079078A">
            <w:pPr>
              <w:jc w:val="center"/>
              <w:outlineLvl w:val="0"/>
              <w:rPr>
                <w:lang w:val="tr-TR"/>
              </w:rPr>
            </w:pPr>
          </w:p>
        </w:tc>
      </w:tr>
      <w:tr w:rsidR="00965759" w:rsidRPr="00CE3895" w14:paraId="4A3178F4" w14:textId="77777777" w:rsidTr="00D90B72">
        <w:tc>
          <w:tcPr>
            <w:tcW w:w="1714" w:type="dxa"/>
          </w:tcPr>
          <w:p w14:paraId="1A60CEBC" w14:textId="77777777" w:rsidR="00965759" w:rsidRPr="00CE3895" w:rsidRDefault="00965759" w:rsidP="0079078A">
            <w:pPr>
              <w:rPr>
                <w:lang w:val="tr-TR"/>
              </w:rPr>
            </w:pPr>
            <w:r w:rsidRPr="00CE3895">
              <w:rPr>
                <w:lang w:val="tr-TR"/>
              </w:rPr>
              <w:t>Kısa İsim</w:t>
            </w:r>
          </w:p>
          <w:p w14:paraId="0EE7CA15" w14:textId="77777777" w:rsidR="00965759" w:rsidRPr="00CE3895" w:rsidRDefault="00307DFD" w:rsidP="0079078A">
            <w:pPr>
              <w:jc w:val="both"/>
              <w:rPr>
                <w:lang w:val="tr-TR"/>
              </w:rPr>
            </w:pPr>
            <w:r w:rsidRPr="00CE3895">
              <w:rPr>
                <w:lang w:val="tr-TR"/>
              </w:rPr>
              <w:t>R.G.</w:t>
            </w:r>
            <w:r w:rsidR="00CB5CEE" w:rsidRPr="00CE3895">
              <w:rPr>
                <w:lang w:val="tr-TR"/>
              </w:rPr>
              <w:t>50</w:t>
            </w:r>
          </w:p>
          <w:p w14:paraId="6D403B8D" w14:textId="77777777" w:rsidR="00307DFD" w:rsidRPr="00CE3895" w:rsidRDefault="00307DFD" w:rsidP="0079078A">
            <w:pPr>
              <w:jc w:val="both"/>
              <w:rPr>
                <w:lang w:val="tr-TR"/>
              </w:rPr>
            </w:pPr>
            <w:r w:rsidRPr="00CE3895">
              <w:rPr>
                <w:lang w:val="tr-TR"/>
              </w:rPr>
              <w:t>EK III</w:t>
            </w:r>
          </w:p>
          <w:p w14:paraId="54398BB4" w14:textId="77777777" w:rsidR="00307DFD" w:rsidRPr="00CE3895" w:rsidRDefault="00307DFD" w:rsidP="0079078A">
            <w:pPr>
              <w:jc w:val="both"/>
              <w:rPr>
                <w:lang w:val="tr-TR"/>
              </w:rPr>
            </w:pPr>
            <w:r w:rsidRPr="00CE3895">
              <w:rPr>
                <w:lang w:val="tr-TR"/>
              </w:rPr>
              <w:t>A.E.</w:t>
            </w:r>
            <w:r w:rsidR="00CB5CEE" w:rsidRPr="00CE3895">
              <w:rPr>
                <w:lang w:val="tr-TR"/>
              </w:rPr>
              <w:t>244</w:t>
            </w:r>
          </w:p>
          <w:p w14:paraId="3EB15F6B" w14:textId="77777777" w:rsidR="00307DFD" w:rsidRPr="00CE3895" w:rsidRDefault="00CB5CEE" w:rsidP="00CB5CEE">
            <w:pPr>
              <w:jc w:val="both"/>
              <w:rPr>
                <w:lang w:val="tr-TR"/>
              </w:rPr>
            </w:pPr>
            <w:r w:rsidRPr="00CE3895">
              <w:rPr>
                <w:lang w:val="tr-TR"/>
              </w:rPr>
              <w:t>30</w:t>
            </w:r>
            <w:r w:rsidR="00307DFD" w:rsidRPr="00CE3895">
              <w:rPr>
                <w:lang w:val="tr-TR"/>
              </w:rPr>
              <w:t>.0</w:t>
            </w:r>
            <w:r w:rsidRPr="00CE3895">
              <w:rPr>
                <w:lang w:val="tr-TR"/>
              </w:rPr>
              <w:t>3</w:t>
            </w:r>
            <w:r w:rsidR="00307DFD" w:rsidRPr="00CE3895">
              <w:rPr>
                <w:lang w:val="tr-TR"/>
              </w:rPr>
              <w:t>.201</w:t>
            </w:r>
            <w:r w:rsidRPr="00CE3895">
              <w:rPr>
                <w:lang w:val="tr-TR"/>
              </w:rPr>
              <w:t>5</w:t>
            </w:r>
          </w:p>
        </w:tc>
        <w:tc>
          <w:tcPr>
            <w:tcW w:w="7101" w:type="dxa"/>
            <w:gridSpan w:val="3"/>
          </w:tcPr>
          <w:p w14:paraId="35A65C58" w14:textId="77777777" w:rsidR="00965759" w:rsidRPr="00CE3895" w:rsidRDefault="00DC33C4" w:rsidP="00CB5CEE">
            <w:pPr>
              <w:ind w:left="305" w:hanging="305"/>
              <w:jc w:val="both"/>
              <w:outlineLvl w:val="0"/>
              <w:rPr>
                <w:lang w:val="tr-TR"/>
              </w:rPr>
            </w:pPr>
            <w:r w:rsidRPr="00CE3895">
              <w:rPr>
                <w:lang w:val="tr-TR"/>
              </w:rPr>
              <w:t xml:space="preserve">1. </w:t>
            </w:r>
            <w:r w:rsidR="00965759" w:rsidRPr="00CE3895">
              <w:rPr>
                <w:lang w:val="tr-TR"/>
              </w:rPr>
              <w:t xml:space="preserve">Bu </w:t>
            </w:r>
            <w:r w:rsidR="00307DFD" w:rsidRPr="00CE3895">
              <w:rPr>
                <w:lang w:val="tr-TR"/>
              </w:rPr>
              <w:t>Tüzük</w:t>
            </w:r>
            <w:r w:rsidR="00965759" w:rsidRPr="00CE3895">
              <w:rPr>
                <w:lang w:val="tr-TR"/>
              </w:rPr>
              <w:t xml:space="preserve">, </w:t>
            </w:r>
            <w:r w:rsidR="00CB5CEE" w:rsidRPr="00CE3895">
              <w:rPr>
                <w:bCs/>
                <w:lang w:val="tr-TR"/>
              </w:rPr>
              <w:t>Ücretler</w:t>
            </w:r>
            <w:r w:rsidR="00307DFD" w:rsidRPr="00CE3895">
              <w:rPr>
                <w:bCs/>
                <w:lang w:val="tr-TR"/>
              </w:rPr>
              <w:t xml:space="preserve"> </w:t>
            </w:r>
            <w:r w:rsidR="00965759" w:rsidRPr="00CE3895">
              <w:rPr>
                <w:lang w:val="tr-TR"/>
              </w:rPr>
              <w:t xml:space="preserve">(Değişiklik) </w:t>
            </w:r>
            <w:r w:rsidR="00307DFD" w:rsidRPr="00CE3895">
              <w:rPr>
                <w:lang w:val="tr-TR"/>
              </w:rPr>
              <w:t>Tüzüğü</w:t>
            </w:r>
            <w:r w:rsidR="00965759" w:rsidRPr="00CE3895">
              <w:rPr>
                <w:lang w:val="tr-TR"/>
              </w:rPr>
              <w:t xml:space="preserve"> olarak isimlendirilir ve aşağıda “Esas </w:t>
            </w:r>
            <w:r w:rsidR="00C8735A" w:rsidRPr="00CE3895">
              <w:rPr>
                <w:lang w:val="tr-TR"/>
              </w:rPr>
              <w:t>Tüzük</w:t>
            </w:r>
            <w:r w:rsidR="00965759" w:rsidRPr="00CE3895">
              <w:rPr>
                <w:lang w:val="tr-TR"/>
              </w:rPr>
              <w:t xml:space="preserve">” olarak anılan </w:t>
            </w:r>
            <w:r w:rsidR="00CB5CEE" w:rsidRPr="00CE3895">
              <w:rPr>
                <w:bCs/>
                <w:lang w:val="tr-TR"/>
              </w:rPr>
              <w:t>Ücretler Tüzüğü</w:t>
            </w:r>
            <w:r w:rsidR="00307DFD" w:rsidRPr="00CE3895">
              <w:rPr>
                <w:lang w:val="tr-TR"/>
              </w:rPr>
              <w:t xml:space="preserve"> </w:t>
            </w:r>
            <w:r w:rsidR="00965759" w:rsidRPr="00CE3895">
              <w:rPr>
                <w:lang w:val="tr-TR"/>
              </w:rPr>
              <w:t>ile birlikte okunur.</w:t>
            </w:r>
          </w:p>
        </w:tc>
      </w:tr>
      <w:tr w:rsidR="00965759" w:rsidRPr="00CE3895" w14:paraId="57C13744" w14:textId="77777777" w:rsidTr="00D90B72">
        <w:trPr>
          <w:trHeight w:val="776"/>
        </w:trPr>
        <w:tc>
          <w:tcPr>
            <w:tcW w:w="1714" w:type="dxa"/>
          </w:tcPr>
          <w:p w14:paraId="66FA1270" w14:textId="0DDEB5CC" w:rsidR="00D90B72" w:rsidRPr="00CE3895" w:rsidRDefault="00D90B72" w:rsidP="0079078A">
            <w:pPr>
              <w:rPr>
                <w:sz w:val="14"/>
                <w:lang w:val="tr-TR"/>
              </w:rPr>
            </w:pPr>
          </w:p>
          <w:p w14:paraId="33F11379" w14:textId="6041F598" w:rsidR="00CE3895" w:rsidRPr="00CE3895" w:rsidRDefault="00CE3895" w:rsidP="0079078A">
            <w:pPr>
              <w:rPr>
                <w:lang w:val="tr-TR"/>
              </w:rPr>
            </w:pPr>
          </w:p>
          <w:p w14:paraId="5D77AD5F" w14:textId="77777777" w:rsidR="00CE3895" w:rsidRPr="00CE3895" w:rsidRDefault="00CE3895" w:rsidP="0079078A">
            <w:pPr>
              <w:rPr>
                <w:lang w:val="tr-TR"/>
              </w:rPr>
            </w:pPr>
          </w:p>
          <w:p w14:paraId="22A23ED0" w14:textId="77777777" w:rsidR="00965759" w:rsidRPr="00CE3895" w:rsidRDefault="00965759" w:rsidP="0079078A">
            <w:pPr>
              <w:rPr>
                <w:lang w:val="tr-TR"/>
              </w:rPr>
            </w:pPr>
            <w:r w:rsidRPr="00CE3895">
              <w:rPr>
                <w:lang w:val="tr-TR"/>
              </w:rPr>
              <w:t>Esas</w:t>
            </w:r>
          </w:p>
          <w:p w14:paraId="45506929" w14:textId="77777777" w:rsidR="00392B33" w:rsidRPr="00CE3895" w:rsidRDefault="00392B33" w:rsidP="00392B33">
            <w:pPr>
              <w:rPr>
                <w:lang w:val="tr-TR"/>
              </w:rPr>
            </w:pPr>
            <w:r w:rsidRPr="00CE3895">
              <w:rPr>
                <w:lang w:val="tr-TR"/>
              </w:rPr>
              <w:t xml:space="preserve">Tüzüğün </w:t>
            </w:r>
            <w:r w:rsidR="00CB5CEE" w:rsidRPr="00CE3895">
              <w:rPr>
                <w:lang w:val="tr-TR"/>
              </w:rPr>
              <w:t>4’üncü</w:t>
            </w:r>
          </w:p>
          <w:p w14:paraId="38DF1B31" w14:textId="77777777" w:rsidR="00965759" w:rsidRPr="00CE3895" w:rsidRDefault="00720CBB" w:rsidP="00CB5CEE">
            <w:pPr>
              <w:rPr>
                <w:lang w:val="tr-TR"/>
              </w:rPr>
            </w:pPr>
            <w:r w:rsidRPr="00CE3895">
              <w:rPr>
                <w:lang w:val="tr-TR"/>
              </w:rPr>
              <w:t xml:space="preserve">Maddesinin Değiştirilmesi </w:t>
            </w:r>
          </w:p>
        </w:tc>
        <w:tc>
          <w:tcPr>
            <w:tcW w:w="7101" w:type="dxa"/>
            <w:gridSpan w:val="3"/>
          </w:tcPr>
          <w:p w14:paraId="622303B6" w14:textId="1BEF364D" w:rsidR="00D90B72" w:rsidRPr="00CE3895" w:rsidRDefault="00D90B72" w:rsidP="00783991">
            <w:pPr>
              <w:ind w:left="305" w:hanging="305"/>
              <w:jc w:val="both"/>
              <w:rPr>
                <w:rFonts w:eastAsia="Calibri"/>
                <w:sz w:val="16"/>
                <w:lang w:val="tr-TR"/>
              </w:rPr>
            </w:pPr>
          </w:p>
          <w:p w14:paraId="4302DF6B" w14:textId="77777777" w:rsidR="00CE3895" w:rsidRPr="00CE3895" w:rsidRDefault="00CE3895" w:rsidP="00783991">
            <w:pPr>
              <w:ind w:left="305" w:hanging="305"/>
              <w:jc w:val="both"/>
              <w:rPr>
                <w:rFonts w:eastAsia="Calibri"/>
                <w:sz w:val="16"/>
                <w:lang w:val="tr-TR"/>
              </w:rPr>
            </w:pPr>
          </w:p>
          <w:p w14:paraId="710CA9E5" w14:textId="77777777" w:rsidR="00CE3895" w:rsidRPr="00CE3895" w:rsidRDefault="00CE3895" w:rsidP="00783991">
            <w:pPr>
              <w:ind w:left="305" w:hanging="305"/>
              <w:jc w:val="both"/>
              <w:rPr>
                <w:rFonts w:eastAsia="Calibri"/>
                <w:lang w:val="tr-TR"/>
              </w:rPr>
            </w:pPr>
          </w:p>
          <w:p w14:paraId="74523FF2" w14:textId="77777777" w:rsidR="00965759" w:rsidRPr="00CE3895" w:rsidRDefault="00965759" w:rsidP="00CB5CEE">
            <w:pPr>
              <w:ind w:left="305" w:hanging="305"/>
              <w:jc w:val="both"/>
              <w:rPr>
                <w:lang w:val="tr-TR"/>
              </w:rPr>
            </w:pPr>
            <w:r w:rsidRPr="00CE3895">
              <w:rPr>
                <w:rFonts w:eastAsia="Calibri"/>
                <w:lang w:val="tr-TR"/>
              </w:rPr>
              <w:t xml:space="preserve">2. </w:t>
            </w:r>
            <w:r w:rsidRPr="00CE3895">
              <w:rPr>
                <w:lang w:val="tr-TR"/>
              </w:rPr>
              <w:t xml:space="preserve">Esas </w:t>
            </w:r>
            <w:r w:rsidR="00392B33" w:rsidRPr="00CE3895">
              <w:rPr>
                <w:lang w:val="tr-TR"/>
              </w:rPr>
              <w:t>Tüzük</w:t>
            </w:r>
            <w:r w:rsidRPr="00CE3895">
              <w:rPr>
                <w:lang w:val="tr-TR"/>
              </w:rPr>
              <w:t xml:space="preserve">, </w:t>
            </w:r>
            <w:r w:rsidR="00CB5CEE" w:rsidRPr="00CE3895">
              <w:rPr>
                <w:lang w:val="tr-TR"/>
              </w:rPr>
              <w:t>mevcut 4</w:t>
            </w:r>
            <w:r w:rsidRPr="00CE3895">
              <w:rPr>
                <w:lang w:val="tr-TR"/>
              </w:rPr>
              <w:t>’</w:t>
            </w:r>
            <w:r w:rsidR="00CB5CEE" w:rsidRPr="00CE3895">
              <w:rPr>
                <w:lang w:val="tr-TR"/>
              </w:rPr>
              <w:t>ü</w:t>
            </w:r>
            <w:r w:rsidRPr="00CE3895">
              <w:rPr>
                <w:lang w:val="tr-TR"/>
              </w:rPr>
              <w:t>nc</w:t>
            </w:r>
            <w:r w:rsidR="00CB5CEE" w:rsidRPr="00CE3895">
              <w:rPr>
                <w:lang w:val="tr-TR"/>
              </w:rPr>
              <w:t>ü</w:t>
            </w:r>
            <w:r w:rsidRPr="00CE3895">
              <w:rPr>
                <w:lang w:val="tr-TR"/>
              </w:rPr>
              <w:t xml:space="preserve"> maddesi</w:t>
            </w:r>
            <w:r w:rsidR="00CB5CEE" w:rsidRPr="00CE3895">
              <w:rPr>
                <w:lang w:val="tr-TR"/>
              </w:rPr>
              <w:t xml:space="preserve"> kaldırılmak ve yerine aşağıdaki yeni 4’üncü madde konmak</w:t>
            </w:r>
            <w:r w:rsidRPr="00CE3895">
              <w:rPr>
                <w:lang w:val="tr-TR"/>
              </w:rPr>
              <w:t xml:space="preserve"> suretiyle değiştirilir:</w:t>
            </w:r>
          </w:p>
          <w:p w14:paraId="4B215324" w14:textId="77777777" w:rsidR="00CB5CEE" w:rsidRPr="00CE3895" w:rsidRDefault="00CB5CEE" w:rsidP="00CB5CEE">
            <w:pPr>
              <w:ind w:left="305" w:hanging="305"/>
              <w:jc w:val="both"/>
              <w:rPr>
                <w:rFonts w:eastAsia="Calibri"/>
                <w:lang w:val="tr-TR"/>
              </w:rPr>
            </w:pPr>
          </w:p>
          <w:p w14:paraId="2B72AEAA" w14:textId="77777777" w:rsidR="00CE3895" w:rsidRPr="00CE3895" w:rsidRDefault="00CE3895" w:rsidP="00CB5CEE">
            <w:pPr>
              <w:ind w:left="305" w:hanging="305"/>
              <w:jc w:val="both"/>
              <w:rPr>
                <w:rFonts w:eastAsia="Calibri"/>
                <w:lang w:val="tr-TR"/>
              </w:rPr>
            </w:pPr>
          </w:p>
          <w:p w14:paraId="3F366309" w14:textId="77777777" w:rsidR="00CE3895" w:rsidRPr="00CE3895" w:rsidRDefault="00CE3895" w:rsidP="00CB5CEE">
            <w:pPr>
              <w:ind w:left="305" w:hanging="305"/>
              <w:jc w:val="both"/>
              <w:rPr>
                <w:rFonts w:eastAsia="Calibri"/>
                <w:lang w:val="tr-TR"/>
              </w:rPr>
            </w:pPr>
          </w:p>
          <w:p w14:paraId="126C1729" w14:textId="69A377C3" w:rsidR="00CE3895" w:rsidRPr="00CE3895" w:rsidRDefault="00CE3895" w:rsidP="00CB5CEE">
            <w:pPr>
              <w:ind w:left="305" w:hanging="305"/>
              <w:jc w:val="both"/>
              <w:rPr>
                <w:rFonts w:eastAsia="Calibri"/>
                <w:lang w:val="tr-TR"/>
              </w:rPr>
            </w:pPr>
          </w:p>
        </w:tc>
      </w:tr>
      <w:tr w:rsidR="00720CBB" w:rsidRPr="00CE3895" w14:paraId="73E2BEFF" w14:textId="77777777" w:rsidTr="00D90B72">
        <w:trPr>
          <w:gridAfter w:val="1"/>
          <w:wAfter w:w="32" w:type="dxa"/>
        </w:trPr>
        <w:tc>
          <w:tcPr>
            <w:tcW w:w="1714" w:type="dxa"/>
          </w:tcPr>
          <w:p w14:paraId="2A720E76" w14:textId="77777777" w:rsidR="00720CBB" w:rsidRPr="00CE3895" w:rsidRDefault="00720CBB" w:rsidP="0079078A">
            <w:pPr>
              <w:rPr>
                <w:lang w:val="tr-TR"/>
              </w:rPr>
            </w:pPr>
          </w:p>
        </w:tc>
        <w:tc>
          <w:tcPr>
            <w:tcW w:w="7069" w:type="dxa"/>
            <w:gridSpan w:val="2"/>
          </w:tcPr>
          <w:p w14:paraId="74A187C6" w14:textId="77777777" w:rsidR="00720CBB" w:rsidRPr="00CE3895" w:rsidRDefault="00720CBB" w:rsidP="00CB5CEE">
            <w:pPr>
              <w:ind w:left="2006" w:hanging="2268"/>
              <w:jc w:val="both"/>
              <w:rPr>
                <w:lang w:val="tr-TR"/>
              </w:rPr>
            </w:pPr>
            <w:r w:rsidRPr="00CE3895">
              <w:rPr>
                <w:lang w:val="tr-TR"/>
              </w:rPr>
              <w:t xml:space="preserve">         “</w:t>
            </w:r>
            <w:r w:rsidR="00CB5CEE" w:rsidRPr="00CE3895">
              <w:rPr>
                <w:lang w:val="tr-TR"/>
              </w:rPr>
              <w:t>Kapsam       4. Bu Tüzük; Yasa ile alt ve üst sınırları belirlenen bireysel kullanım hakkı tahsis ve kullanım ücretlerinin, geçici süreliler de dahil olmak üzere telsiz ruhsat ve kullanma ücretlerinin, terminal donanımlarının uygunluk değerlendirmesi ücretlerinin, güvenlik mesafesinin belirlenmesine yönelik elektromanyetik alan şiddeti ölçümleri ve sertifikası ücretlerinin, elektronik kimlik bilgisini haiz cihazların kayıt ücretlerinin, danışmanlık ve yardım ücretlerinin ve mobil terminal telsiz ruhsat ve kullanım ücretlerinin belirlenmesine ve bu ücretlerin tahsilinde uygulanacak süreçlere ilişkin usul ve esasları kapsar</w:t>
            </w:r>
            <w:r w:rsidRPr="00CE3895">
              <w:rPr>
                <w:rFonts w:eastAsia="Calibri"/>
                <w:lang w:val="tr-TR"/>
              </w:rPr>
              <w:t>”</w:t>
            </w:r>
          </w:p>
        </w:tc>
      </w:tr>
      <w:tr w:rsidR="00783991" w:rsidRPr="00CE3895" w14:paraId="3F993F17" w14:textId="77777777" w:rsidTr="00CB5CEE">
        <w:trPr>
          <w:gridAfter w:val="1"/>
          <w:wAfter w:w="32" w:type="dxa"/>
        </w:trPr>
        <w:tc>
          <w:tcPr>
            <w:tcW w:w="1714" w:type="dxa"/>
          </w:tcPr>
          <w:p w14:paraId="5CC63771" w14:textId="77777777" w:rsidR="00783991" w:rsidRPr="00CE3895" w:rsidRDefault="00783991" w:rsidP="00785BA2">
            <w:pPr>
              <w:jc w:val="both"/>
              <w:rPr>
                <w:lang w:val="tr-TR"/>
              </w:rPr>
            </w:pPr>
          </w:p>
        </w:tc>
        <w:tc>
          <w:tcPr>
            <w:tcW w:w="408" w:type="dxa"/>
          </w:tcPr>
          <w:p w14:paraId="3B49DF2A" w14:textId="77777777" w:rsidR="00783991" w:rsidRPr="00CE3895" w:rsidRDefault="00783991" w:rsidP="00785BA2">
            <w:pPr>
              <w:ind w:right="-426"/>
              <w:jc w:val="both"/>
              <w:rPr>
                <w:lang w:val="tr-TR"/>
              </w:rPr>
            </w:pPr>
          </w:p>
        </w:tc>
        <w:tc>
          <w:tcPr>
            <w:tcW w:w="6661" w:type="dxa"/>
          </w:tcPr>
          <w:p w14:paraId="1C03246E" w14:textId="77777777" w:rsidR="00783991" w:rsidRPr="00CE3895" w:rsidRDefault="00783991" w:rsidP="00B20475">
            <w:pPr>
              <w:ind w:left="399" w:hanging="425"/>
              <w:jc w:val="both"/>
              <w:rPr>
                <w:lang w:val="tr-TR"/>
              </w:rPr>
            </w:pPr>
          </w:p>
        </w:tc>
      </w:tr>
      <w:tr w:rsidR="00785BA2" w:rsidRPr="00CE3895" w14:paraId="47A3B538" w14:textId="77777777" w:rsidTr="00D90B72">
        <w:tc>
          <w:tcPr>
            <w:tcW w:w="1714" w:type="dxa"/>
          </w:tcPr>
          <w:p w14:paraId="751638DB" w14:textId="77777777" w:rsidR="00785BA2" w:rsidRPr="00CE3895" w:rsidRDefault="00785BA2" w:rsidP="00785BA2">
            <w:pPr>
              <w:rPr>
                <w:lang w:val="tr-TR"/>
              </w:rPr>
            </w:pPr>
          </w:p>
          <w:p w14:paraId="70903226" w14:textId="57CA236D" w:rsidR="001E7E45" w:rsidRPr="00CE3895" w:rsidRDefault="001E7E45" w:rsidP="00785BA2">
            <w:pPr>
              <w:rPr>
                <w:lang w:val="tr-TR"/>
              </w:rPr>
            </w:pPr>
          </w:p>
          <w:p w14:paraId="00BDEA43" w14:textId="10D0C1C4" w:rsidR="00CE3895" w:rsidRPr="00CE3895" w:rsidRDefault="00CE3895" w:rsidP="00785BA2">
            <w:pPr>
              <w:rPr>
                <w:lang w:val="tr-TR"/>
              </w:rPr>
            </w:pPr>
          </w:p>
          <w:p w14:paraId="33A6433D" w14:textId="0C6E41A2" w:rsidR="00CE3895" w:rsidRPr="00CE3895" w:rsidRDefault="00CE3895" w:rsidP="00785BA2">
            <w:pPr>
              <w:rPr>
                <w:lang w:val="tr-TR"/>
              </w:rPr>
            </w:pPr>
          </w:p>
          <w:p w14:paraId="7CD8A419" w14:textId="1E1C5D24" w:rsidR="00CE3895" w:rsidRPr="00CE3895" w:rsidRDefault="00CE3895" w:rsidP="00785BA2">
            <w:pPr>
              <w:rPr>
                <w:lang w:val="tr-TR"/>
              </w:rPr>
            </w:pPr>
          </w:p>
          <w:p w14:paraId="412DE84C" w14:textId="77777777" w:rsidR="00CE3895" w:rsidRPr="00CE3895" w:rsidRDefault="00CE3895" w:rsidP="00785BA2">
            <w:pPr>
              <w:rPr>
                <w:lang w:val="tr-TR"/>
              </w:rPr>
            </w:pPr>
          </w:p>
          <w:p w14:paraId="66E0E11A" w14:textId="77777777" w:rsidR="001E7E45" w:rsidRPr="00CE3895" w:rsidRDefault="001E7E45" w:rsidP="001E7E45">
            <w:pPr>
              <w:rPr>
                <w:lang w:val="tr-TR"/>
              </w:rPr>
            </w:pPr>
            <w:r w:rsidRPr="00CE3895">
              <w:rPr>
                <w:lang w:val="tr-TR"/>
              </w:rPr>
              <w:lastRenderedPageBreak/>
              <w:t>Esas Tüzük</w:t>
            </w:r>
            <w:r w:rsidR="003A65C8" w:rsidRPr="00CE3895">
              <w:rPr>
                <w:lang w:val="tr-TR"/>
              </w:rPr>
              <w:t>’e</w:t>
            </w:r>
          </w:p>
          <w:p w14:paraId="5C2881AE" w14:textId="77777777" w:rsidR="001E7E45" w:rsidRPr="00CE3895" w:rsidRDefault="00DE379F" w:rsidP="001E7E45">
            <w:pPr>
              <w:rPr>
                <w:lang w:val="tr-TR"/>
              </w:rPr>
            </w:pPr>
            <w:r w:rsidRPr="00CE3895">
              <w:rPr>
                <w:lang w:val="tr-TR"/>
              </w:rPr>
              <w:t xml:space="preserve">Yeni </w:t>
            </w:r>
            <w:r w:rsidR="001E7E45" w:rsidRPr="00CE3895">
              <w:rPr>
                <w:lang w:val="tr-TR"/>
              </w:rPr>
              <w:t>1</w:t>
            </w:r>
            <w:r w:rsidRPr="00CE3895">
              <w:rPr>
                <w:lang w:val="tr-TR"/>
              </w:rPr>
              <w:t>2</w:t>
            </w:r>
            <w:r w:rsidR="001E7E45" w:rsidRPr="00CE3895">
              <w:rPr>
                <w:lang w:val="tr-TR"/>
              </w:rPr>
              <w:t>’nci</w:t>
            </w:r>
          </w:p>
          <w:p w14:paraId="1903C4E2" w14:textId="77777777" w:rsidR="001E7E45" w:rsidRPr="00CE3895" w:rsidRDefault="001E7E45" w:rsidP="001E7E45">
            <w:pPr>
              <w:rPr>
                <w:lang w:val="tr-TR"/>
              </w:rPr>
            </w:pPr>
            <w:r w:rsidRPr="00CE3895">
              <w:rPr>
                <w:lang w:val="tr-TR"/>
              </w:rPr>
              <w:t>Madde</w:t>
            </w:r>
            <w:r w:rsidR="00DE379F" w:rsidRPr="00CE3895">
              <w:rPr>
                <w:lang w:val="tr-TR"/>
              </w:rPr>
              <w:t xml:space="preserve"> Eklenmesi </w:t>
            </w:r>
          </w:p>
          <w:p w14:paraId="40A4CF51" w14:textId="77777777" w:rsidR="001E7E45" w:rsidRPr="00CE3895" w:rsidRDefault="001E7E45" w:rsidP="001E7E45">
            <w:pPr>
              <w:rPr>
                <w:lang w:val="tr-TR"/>
              </w:rPr>
            </w:pPr>
          </w:p>
          <w:p w14:paraId="0DB23FA1" w14:textId="77777777" w:rsidR="001E7E45" w:rsidRPr="00CE3895" w:rsidRDefault="001E7E45" w:rsidP="00785BA2">
            <w:pPr>
              <w:rPr>
                <w:lang w:val="tr-TR"/>
              </w:rPr>
            </w:pPr>
          </w:p>
          <w:p w14:paraId="0A3FB7DE" w14:textId="77777777" w:rsidR="001E7E45" w:rsidRPr="00CE3895" w:rsidRDefault="001E7E45" w:rsidP="00785BA2">
            <w:pPr>
              <w:rPr>
                <w:lang w:val="tr-TR"/>
              </w:rPr>
            </w:pPr>
          </w:p>
          <w:p w14:paraId="497D71DA" w14:textId="77777777" w:rsidR="001E7E45" w:rsidRPr="00CE3895" w:rsidRDefault="001E7E45" w:rsidP="00785BA2">
            <w:pPr>
              <w:rPr>
                <w:lang w:val="tr-TR"/>
              </w:rPr>
            </w:pPr>
          </w:p>
          <w:p w14:paraId="6C85867E" w14:textId="77777777" w:rsidR="0018626D" w:rsidRPr="00CE3895" w:rsidRDefault="0018626D" w:rsidP="00FC6F72">
            <w:pPr>
              <w:rPr>
                <w:lang w:val="tr-TR"/>
              </w:rPr>
            </w:pPr>
          </w:p>
          <w:p w14:paraId="598588DB" w14:textId="77777777" w:rsidR="0018626D" w:rsidRPr="00CE3895" w:rsidRDefault="0018626D" w:rsidP="00FC6F72">
            <w:pPr>
              <w:rPr>
                <w:lang w:val="tr-TR"/>
              </w:rPr>
            </w:pPr>
          </w:p>
          <w:p w14:paraId="72E027C6" w14:textId="77777777" w:rsidR="0018626D" w:rsidRPr="00CE3895" w:rsidRDefault="0018626D" w:rsidP="00FC6F72">
            <w:pPr>
              <w:rPr>
                <w:lang w:val="tr-TR"/>
              </w:rPr>
            </w:pPr>
          </w:p>
          <w:p w14:paraId="1C62DE8D" w14:textId="77777777" w:rsidR="0018626D" w:rsidRPr="00CE3895" w:rsidRDefault="0018626D" w:rsidP="00FC6F72">
            <w:pPr>
              <w:rPr>
                <w:lang w:val="tr-TR"/>
              </w:rPr>
            </w:pPr>
          </w:p>
          <w:p w14:paraId="1800985F" w14:textId="77777777" w:rsidR="0018626D" w:rsidRPr="00CE3895" w:rsidRDefault="0018626D" w:rsidP="00FC6F72">
            <w:pPr>
              <w:rPr>
                <w:lang w:val="tr-TR"/>
              </w:rPr>
            </w:pPr>
          </w:p>
          <w:p w14:paraId="69E2437C" w14:textId="77777777" w:rsidR="005C3B1B" w:rsidRPr="00CE3895" w:rsidRDefault="005C3B1B" w:rsidP="00FC6F72">
            <w:pPr>
              <w:rPr>
                <w:lang w:val="tr-TR"/>
              </w:rPr>
            </w:pPr>
          </w:p>
          <w:p w14:paraId="2843D71F" w14:textId="77777777" w:rsidR="005C3B1B" w:rsidRPr="00CE3895" w:rsidRDefault="005C3B1B" w:rsidP="00FC6F72">
            <w:pPr>
              <w:rPr>
                <w:lang w:val="tr-TR"/>
              </w:rPr>
            </w:pPr>
          </w:p>
          <w:p w14:paraId="4DA08964" w14:textId="77777777" w:rsidR="005C3B1B" w:rsidRPr="00CE3895" w:rsidRDefault="005C3B1B" w:rsidP="00FC6F72">
            <w:pPr>
              <w:rPr>
                <w:lang w:val="tr-TR"/>
              </w:rPr>
            </w:pPr>
          </w:p>
          <w:p w14:paraId="22C3A5F5" w14:textId="77777777" w:rsidR="005C3B1B" w:rsidRPr="00CE3895" w:rsidRDefault="005C3B1B" w:rsidP="00FC6F72">
            <w:pPr>
              <w:rPr>
                <w:lang w:val="tr-TR"/>
              </w:rPr>
            </w:pPr>
          </w:p>
          <w:p w14:paraId="46C27FAB" w14:textId="77777777" w:rsidR="005C3B1B" w:rsidRPr="00CE3895" w:rsidRDefault="005C3B1B" w:rsidP="00FC6F72">
            <w:pPr>
              <w:rPr>
                <w:lang w:val="tr-TR"/>
              </w:rPr>
            </w:pPr>
          </w:p>
          <w:p w14:paraId="2EA8B0E4" w14:textId="77777777" w:rsidR="005C3B1B" w:rsidRPr="00CE3895" w:rsidRDefault="005C3B1B" w:rsidP="00FC6F72">
            <w:pPr>
              <w:rPr>
                <w:lang w:val="tr-TR"/>
              </w:rPr>
            </w:pPr>
          </w:p>
          <w:p w14:paraId="1896F8A4" w14:textId="77777777" w:rsidR="005C3B1B" w:rsidRPr="00CE3895" w:rsidRDefault="005C3B1B" w:rsidP="00FC6F72">
            <w:pPr>
              <w:rPr>
                <w:lang w:val="tr-TR"/>
              </w:rPr>
            </w:pPr>
          </w:p>
          <w:p w14:paraId="72CD6EF0" w14:textId="77777777" w:rsidR="005C3B1B" w:rsidRPr="00CE3895" w:rsidRDefault="005C3B1B" w:rsidP="00FC6F72">
            <w:pPr>
              <w:rPr>
                <w:lang w:val="tr-TR"/>
              </w:rPr>
            </w:pPr>
          </w:p>
          <w:p w14:paraId="4E25D257" w14:textId="77777777" w:rsidR="005C3B1B" w:rsidRPr="00CE3895" w:rsidRDefault="005C3B1B" w:rsidP="00FC6F72">
            <w:pPr>
              <w:rPr>
                <w:lang w:val="tr-TR"/>
              </w:rPr>
            </w:pPr>
          </w:p>
          <w:p w14:paraId="1C0335D7" w14:textId="77777777" w:rsidR="005C3B1B" w:rsidRPr="00CE3895" w:rsidRDefault="005C3B1B" w:rsidP="00FC6F72">
            <w:pPr>
              <w:rPr>
                <w:lang w:val="tr-TR"/>
              </w:rPr>
            </w:pPr>
          </w:p>
          <w:p w14:paraId="4235319A" w14:textId="77777777" w:rsidR="005C3B1B" w:rsidRPr="00CE3895" w:rsidRDefault="005C3B1B" w:rsidP="00FC6F72">
            <w:pPr>
              <w:rPr>
                <w:lang w:val="tr-TR"/>
              </w:rPr>
            </w:pPr>
          </w:p>
          <w:p w14:paraId="0DBCB924" w14:textId="77777777" w:rsidR="005C3B1B" w:rsidRPr="00CE3895" w:rsidRDefault="005C3B1B" w:rsidP="00FC6F72">
            <w:pPr>
              <w:rPr>
                <w:lang w:val="tr-TR"/>
              </w:rPr>
            </w:pPr>
          </w:p>
          <w:p w14:paraId="1C17458A" w14:textId="77777777" w:rsidR="005C3B1B" w:rsidRPr="00CE3895" w:rsidRDefault="005C3B1B" w:rsidP="00FC6F72">
            <w:pPr>
              <w:rPr>
                <w:lang w:val="tr-TR"/>
              </w:rPr>
            </w:pPr>
          </w:p>
          <w:p w14:paraId="43D38019" w14:textId="77777777" w:rsidR="005C3B1B" w:rsidRPr="00CE3895" w:rsidRDefault="005C3B1B" w:rsidP="00FC6F72">
            <w:pPr>
              <w:rPr>
                <w:lang w:val="tr-TR"/>
              </w:rPr>
            </w:pPr>
          </w:p>
          <w:p w14:paraId="23E60511" w14:textId="77777777" w:rsidR="005C3B1B" w:rsidRPr="00CE3895" w:rsidRDefault="005C3B1B" w:rsidP="00FC6F72">
            <w:pPr>
              <w:rPr>
                <w:lang w:val="tr-TR"/>
              </w:rPr>
            </w:pPr>
          </w:p>
          <w:p w14:paraId="4A5D29AD" w14:textId="77777777" w:rsidR="005C3B1B" w:rsidRPr="00CE3895" w:rsidRDefault="005C3B1B" w:rsidP="00FC6F72">
            <w:pPr>
              <w:rPr>
                <w:lang w:val="tr-TR"/>
              </w:rPr>
            </w:pPr>
          </w:p>
          <w:p w14:paraId="7314BD24" w14:textId="77777777" w:rsidR="005C3B1B" w:rsidRPr="00CE3895" w:rsidRDefault="005C3B1B" w:rsidP="00FC6F72">
            <w:pPr>
              <w:rPr>
                <w:lang w:val="tr-TR"/>
              </w:rPr>
            </w:pPr>
          </w:p>
          <w:p w14:paraId="7DA91279" w14:textId="77777777" w:rsidR="005C3B1B" w:rsidRPr="00CE3895" w:rsidRDefault="005C3B1B" w:rsidP="00FC6F72">
            <w:pPr>
              <w:rPr>
                <w:lang w:val="tr-TR"/>
              </w:rPr>
            </w:pPr>
          </w:p>
          <w:p w14:paraId="5A36AAA9" w14:textId="77777777" w:rsidR="005C3B1B" w:rsidRPr="00CE3895" w:rsidRDefault="005C3B1B" w:rsidP="00FC6F72">
            <w:pPr>
              <w:rPr>
                <w:lang w:val="tr-TR"/>
              </w:rPr>
            </w:pPr>
          </w:p>
          <w:p w14:paraId="7E3DF539" w14:textId="77777777" w:rsidR="005C3B1B" w:rsidRPr="00CE3895" w:rsidRDefault="005C3B1B" w:rsidP="00FC6F72">
            <w:pPr>
              <w:rPr>
                <w:lang w:val="tr-TR"/>
              </w:rPr>
            </w:pPr>
          </w:p>
          <w:p w14:paraId="29F59820" w14:textId="77777777" w:rsidR="005C3B1B" w:rsidRPr="00CE3895" w:rsidRDefault="005C3B1B" w:rsidP="00FC6F72">
            <w:pPr>
              <w:rPr>
                <w:lang w:val="tr-TR"/>
              </w:rPr>
            </w:pPr>
          </w:p>
          <w:p w14:paraId="4DD9C663" w14:textId="77777777" w:rsidR="005C3B1B" w:rsidRPr="00CE3895" w:rsidRDefault="005C3B1B" w:rsidP="00FC6F72">
            <w:pPr>
              <w:rPr>
                <w:lang w:val="tr-TR"/>
              </w:rPr>
            </w:pPr>
          </w:p>
          <w:p w14:paraId="369C97BC" w14:textId="77777777" w:rsidR="005C3B1B" w:rsidRPr="00CE3895" w:rsidRDefault="005C3B1B" w:rsidP="00FC6F72">
            <w:pPr>
              <w:rPr>
                <w:lang w:val="tr-TR"/>
              </w:rPr>
            </w:pPr>
          </w:p>
          <w:p w14:paraId="3075E3FC" w14:textId="77777777" w:rsidR="005C3B1B" w:rsidRPr="00CE3895" w:rsidRDefault="005C3B1B" w:rsidP="00FC6F72">
            <w:pPr>
              <w:rPr>
                <w:lang w:val="tr-TR"/>
              </w:rPr>
            </w:pPr>
          </w:p>
          <w:p w14:paraId="35B80879" w14:textId="14759E04" w:rsidR="003A65C8" w:rsidRPr="00CE3895" w:rsidRDefault="003A65C8" w:rsidP="003A65C8">
            <w:pPr>
              <w:rPr>
                <w:lang w:val="tr-TR"/>
              </w:rPr>
            </w:pPr>
          </w:p>
          <w:p w14:paraId="7F3BB59F" w14:textId="30B3A17A" w:rsidR="00CE3895" w:rsidRPr="00CE3895" w:rsidRDefault="00CE3895" w:rsidP="003A65C8">
            <w:pPr>
              <w:rPr>
                <w:lang w:val="tr-TR"/>
              </w:rPr>
            </w:pPr>
          </w:p>
          <w:p w14:paraId="7646A3F4" w14:textId="0F0CB14B" w:rsidR="00CE3895" w:rsidRPr="00CE3895" w:rsidRDefault="00CE3895" w:rsidP="003A65C8">
            <w:pPr>
              <w:rPr>
                <w:lang w:val="tr-TR"/>
              </w:rPr>
            </w:pPr>
          </w:p>
          <w:p w14:paraId="74FA4237" w14:textId="3FCB2C1F" w:rsidR="00CE3895" w:rsidRPr="00CE3895" w:rsidRDefault="00CE3895" w:rsidP="003A65C8">
            <w:pPr>
              <w:rPr>
                <w:lang w:val="tr-TR"/>
              </w:rPr>
            </w:pPr>
          </w:p>
          <w:p w14:paraId="706869B7" w14:textId="70AC841E" w:rsidR="00CE3895" w:rsidRPr="00CE3895" w:rsidRDefault="00CE3895" w:rsidP="003A65C8">
            <w:pPr>
              <w:rPr>
                <w:lang w:val="tr-TR"/>
              </w:rPr>
            </w:pPr>
          </w:p>
          <w:p w14:paraId="25556FCE" w14:textId="59AF03E2" w:rsidR="00CE3895" w:rsidRPr="00CE3895" w:rsidRDefault="00CE3895" w:rsidP="003A65C8">
            <w:pPr>
              <w:rPr>
                <w:lang w:val="tr-TR"/>
              </w:rPr>
            </w:pPr>
          </w:p>
          <w:p w14:paraId="2A34CAF9" w14:textId="465B6C14" w:rsidR="00CE3895" w:rsidRPr="00CE3895" w:rsidRDefault="00CE3895" w:rsidP="003A65C8">
            <w:pPr>
              <w:rPr>
                <w:lang w:val="tr-TR"/>
              </w:rPr>
            </w:pPr>
          </w:p>
          <w:p w14:paraId="6407A1E5" w14:textId="77777777" w:rsidR="00CE3895" w:rsidRPr="00CE3895" w:rsidRDefault="00CE3895" w:rsidP="003A65C8">
            <w:pPr>
              <w:rPr>
                <w:lang w:val="tr-TR"/>
              </w:rPr>
            </w:pPr>
          </w:p>
          <w:p w14:paraId="5A26AC9B" w14:textId="77777777" w:rsidR="00CE2731" w:rsidRPr="00CE3895" w:rsidRDefault="00CE2731" w:rsidP="003A65C8">
            <w:pPr>
              <w:rPr>
                <w:lang w:val="tr-TR"/>
              </w:rPr>
            </w:pPr>
          </w:p>
          <w:p w14:paraId="7029E032" w14:textId="77777777" w:rsidR="003A65C8" w:rsidRPr="00CE3895" w:rsidRDefault="003A65C8" w:rsidP="003A65C8">
            <w:pPr>
              <w:rPr>
                <w:lang w:val="tr-TR"/>
              </w:rPr>
            </w:pPr>
            <w:r w:rsidRPr="00CE3895">
              <w:rPr>
                <w:lang w:val="tr-TR"/>
              </w:rPr>
              <w:lastRenderedPageBreak/>
              <w:t>Esas</w:t>
            </w:r>
          </w:p>
          <w:p w14:paraId="118AE0FE" w14:textId="77777777" w:rsidR="005C3B1B" w:rsidRPr="00CE3895" w:rsidRDefault="003A65C8" w:rsidP="003A65C8">
            <w:pPr>
              <w:rPr>
                <w:lang w:val="tr-TR"/>
              </w:rPr>
            </w:pPr>
            <w:r w:rsidRPr="00CE3895">
              <w:rPr>
                <w:lang w:val="tr-TR"/>
              </w:rPr>
              <w:t>Tüzüğün 7’nci, 8’inci, 9’uncu ve 10’uncu  Maddelerine Bağlı Birinci Cetvelin Değiştirilmesi</w:t>
            </w:r>
          </w:p>
          <w:p w14:paraId="17E62972" w14:textId="77777777" w:rsidR="005C3B1B" w:rsidRPr="00CE3895" w:rsidRDefault="005C3B1B" w:rsidP="00FC6F72">
            <w:pPr>
              <w:rPr>
                <w:lang w:val="tr-TR"/>
              </w:rPr>
            </w:pPr>
          </w:p>
          <w:p w14:paraId="73D0C497" w14:textId="77777777" w:rsidR="00FC6F72" w:rsidRPr="00CE3895" w:rsidRDefault="00FC6F72" w:rsidP="00785BA2">
            <w:pPr>
              <w:rPr>
                <w:lang w:val="tr-TR"/>
              </w:rPr>
            </w:pPr>
          </w:p>
          <w:p w14:paraId="2B12CE51" w14:textId="77777777" w:rsidR="001E7E45" w:rsidRPr="00CE3895" w:rsidRDefault="001E7E45" w:rsidP="00785BA2">
            <w:pPr>
              <w:rPr>
                <w:lang w:val="tr-TR"/>
              </w:rPr>
            </w:pPr>
          </w:p>
          <w:p w14:paraId="0B81BDD7" w14:textId="77777777" w:rsidR="001E7E45" w:rsidRPr="00CE3895" w:rsidRDefault="001E7E45" w:rsidP="00785BA2">
            <w:pPr>
              <w:rPr>
                <w:lang w:val="tr-TR"/>
              </w:rPr>
            </w:pPr>
          </w:p>
          <w:p w14:paraId="0B5C8E5E" w14:textId="77777777" w:rsidR="00FC6F72" w:rsidRPr="00CE3895" w:rsidRDefault="00FC6F72" w:rsidP="00785BA2">
            <w:pPr>
              <w:rPr>
                <w:lang w:val="tr-TR"/>
              </w:rPr>
            </w:pPr>
          </w:p>
          <w:p w14:paraId="78CE5488" w14:textId="77777777" w:rsidR="005B3632" w:rsidRPr="00CE3895" w:rsidRDefault="005B3632" w:rsidP="00FC6F72">
            <w:pPr>
              <w:rPr>
                <w:lang w:val="tr-TR"/>
              </w:rPr>
            </w:pPr>
          </w:p>
          <w:p w14:paraId="0CDDEE63" w14:textId="77777777" w:rsidR="0018626D" w:rsidRPr="00CE3895" w:rsidRDefault="0018626D" w:rsidP="00636442">
            <w:pPr>
              <w:rPr>
                <w:lang w:val="tr-TR"/>
              </w:rPr>
            </w:pPr>
          </w:p>
          <w:p w14:paraId="390EF6C0" w14:textId="77777777" w:rsidR="004F08FF" w:rsidRPr="00CE3895" w:rsidRDefault="004F08FF" w:rsidP="005C3B1B">
            <w:pPr>
              <w:rPr>
                <w:lang w:val="tr-TR"/>
              </w:rPr>
            </w:pPr>
          </w:p>
        </w:tc>
        <w:tc>
          <w:tcPr>
            <w:tcW w:w="7101" w:type="dxa"/>
            <w:gridSpan w:val="3"/>
          </w:tcPr>
          <w:p w14:paraId="0E1CF2BA" w14:textId="24821907" w:rsidR="00785BA2" w:rsidRPr="00CE3895" w:rsidRDefault="00785BA2" w:rsidP="00785BA2">
            <w:pPr>
              <w:jc w:val="both"/>
              <w:rPr>
                <w:lang w:val="tr-TR"/>
              </w:rPr>
            </w:pPr>
          </w:p>
          <w:p w14:paraId="2E06E355" w14:textId="594BF9C9" w:rsidR="00CE3895" w:rsidRPr="00CE3895" w:rsidRDefault="00CE3895" w:rsidP="00785BA2">
            <w:pPr>
              <w:jc w:val="both"/>
              <w:rPr>
                <w:lang w:val="tr-TR"/>
              </w:rPr>
            </w:pPr>
          </w:p>
          <w:p w14:paraId="52BA7FEA" w14:textId="77777777" w:rsidR="00CE3895" w:rsidRPr="00CE3895" w:rsidRDefault="00CE3895" w:rsidP="00785BA2">
            <w:pPr>
              <w:jc w:val="both"/>
              <w:rPr>
                <w:lang w:val="tr-TR"/>
              </w:rPr>
            </w:pPr>
          </w:p>
          <w:p w14:paraId="07988E49" w14:textId="77777777" w:rsidR="001E7E45" w:rsidRPr="00CE3895" w:rsidRDefault="001E7E45" w:rsidP="00785BA2">
            <w:pPr>
              <w:jc w:val="both"/>
              <w:rPr>
                <w:lang w:val="tr-TR"/>
              </w:rPr>
            </w:pPr>
          </w:p>
          <w:p w14:paraId="0297294A" w14:textId="77777777" w:rsidR="001E7E45" w:rsidRPr="00CE3895" w:rsidRDefault="00032461" w:rsidP="00847008">
            <w:pPr>
              <w:jc w:val="both"/>
              <w:rPr>
                <w:lang w:val="tr-TR"/>
              </w:rPr>
            </w:pPr>
            <w:r w:rsidRPr="00CE3895">
              <w:rPr>
                <w:lang w:val="tr-TR"/>
              </w:rPr>
              <w:lastRenderedPageBreak/>
              <w:t>3</w:t>
            </w:r>
            <w:r w:rsidR="001E7E45" w:rsidRPr="00CE3895">
              <w:rPr>
                <w:lang w:val="tr-TR"/>
              </w:rPr>
              <w:t xml:space="preserve">. </w:t>
            </w:r>
            <w:r w:rsidR="00DE379F" w:rsidRPr="00CE3895">
              <w:rPr>
                <w:lang w:val="tr-TR"/>
              </w:rPr>
              <w:t>Esas Tüzük, yeni 12’inci madde eklenmek ve mevcut 12’nci 13’üncü, 14’üncü, 15’inci madde olarak yeniden sayılandırılmak suretiyle değiştirilir</w:t>
            </w:r>
            <w:r w:rsidR="00847008" w:rsidRPr="00CE3895">
              <w:rPr>
                <w:lang w:val="tr-TR"/>
              </w:rPr>
              <w:t>.</w:t>
            </w:r>
          </w:p>
          <w:p w14:paraId="7C17BA25" w14:textId="77777777" w:rsidR="00847008" w:rsidRPr="00CE3895" w:rsidRDefault="00847008" w:rsidP="00847008">
            <w:pPr>
              <w:jc w:val="both"/>
              <w:rPr>
                <w:lang w:val="tr-TR"/>
              </w:rPr>
            </w:pPr>
          </w:p>
          <w:p w14:paraId="354D1B79" w14:textId="77777777" w:rsidR="005C3B1B" w:rsidRPr="00CE3895" w:rsidRDefault="00DE379F" w:rsidP="00FC6F72">
            <w:pPr>
              <w:ind w:left="730" w:hanging="730"/>
              <w:jc w:val="both"/>
              <w:rPr>
                <w:lang w:val="tr-TR"/>
              </w:rPr>
            </w:pPr>
            <w:r w:rsidRPr="00CE3895">
              <w:rPr>
                <w:lang w:val="tr-TR"/>
              </w:rPr>
              <w:t xml:space="preserve">“ </w:t>
            </w:r>
          </w:p>
          <w:tbl>
            <w:tblPr>
              <w:tblStyle w:val="TableGrid"/>
              <w:tblW w:w="6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2"/>
              <w:gridCol w:w="600"/>
              <w:gridCol w:w="567"/>
              <w:gridCol w:w="3462"/>
            </w:tblGrid>
            <w:tr w:rsidR="005C3B1B" w:rsidRPr="00CE3895" w14:paraId="289BFBFF" w14:textId="77777777" w:rsidTr="005C3B1B">
              <w:trPr>
                <w:trHeight w:val="252"/>
              </w:trPr>
              <w:tc>
                <w:tcPr>
                  <w:tcW w:w="1542" w:type="dxa"/>
                </w:tcPr>
                <w:p w14:paraId="6A23CF70" w14:textId="77777777" w:rsidR="005C3B1B" w:rsidRPr="00CE3895" w:rsidRDefault="005C3B1B" w:rsidP="00FC6F72">
                  <w:pPr>
                    <w:jc w:val="both"/>
                    <w:rPr>
                      <w:lang w:val="tr-TR"/>
                    </w:rPr>
                  </w:pPr>
                  <w:bookmarkStart w:id="1" w:name="_Hlk34913408"/>
                  <w:r w:rsidRPr="00CE3895">
                    <w:rPr>
                      <w:lang w:val="tr-TR"/>
                    </w:rPr>
                    <w:t>Mobil Terminal Telsiz Ruhsat ve Kullanım Ücreti</w:t>
                  </w:r>
                </w:p>
              </w:tc>
              <w:tc>
                <w:tcPr>
                  <w:tcW w:w="600" w:type="dxa"/>
                </w:tcPr>
                <w:p w14:paraId="7AD9FDC2" w14:textId="77777777" w:rsidR="005C3B1B" w:rsidRPr="00CE3895" w:rsidRDefault="005C3B1B" w:rsidP="00FC6F72">
                  <w:pPr>
                    <w:jc w:val="both"/>
                    <w:rPr>
                      <w:lang w:val="tr-TR"/>
                    </w:rPr>
                  </w:pPr>
                  <w:r w:rsidRPr="00CE3895">
                    <w:rPr>
                      <w:lang w:val="tr-TR"/>
                    </w:rPr>
                    <w:t>12.</w:t>
                  </w:r>
                </w:p>
              </w:tc>
              <w:tc>
                <w:tcPr>
                  <w:tcW w:w="567" w:type="dxa"/>
                </w:tcPr>
                <w:p w14:paraId="17E90845" w14:textId="77777777" w:rsidR="005C3B1B" w:rsidRPr="00CE3895" w:rsidRDefault="005C3B1B" w:rsidP="00FC6F72">
                  <w:pPr>
                    <w:jc w:val="both"/>
                    <w:rPr>
                      <w:lang w:val="tr-TR"/>
                    </w:rPr>
                  </w:pPr>
                  <w:r w:rsidRPr="00CE3895">
                    <w:rPr>
                      <w:lang w:val="tr-TR"/>
                    </w:rPr>
                    <w:t>(1)</w:t>
                  </w:r>
                </w:p>
              </w:tc>
              <w:tc>
                <w:tcPr>
                  <w:tcW w:w="3462" w:type="dxa"/>
                </w:tcPr>
                <w:p w14:paraId="61EEFE3B" w14:textId="7CF988F3" w:rsidR="005C3B1B" w:rsidRPr="00CE3895" w:rsidRDefault="005C3B1B" w:rsidP="00FC6F72">
                  <w:pPr>
                    <w:jc w:val="both"/>
                    <w:rPr>
                      <w:lang w:val="tr-TR"/>
                    </w:rPr>
                  </w:pPr>
                  <w:r w:rsidRPr="00CE3895">
                    <w:rPr>
                      <w:lang w:val="tr-TR"/>
                    </w:rPr>
                    <w:t xml:space="preserve">Yasa ve Mobil Terminal Telsiz Ücretleri Tüzüğü uyarınca, mobil elektronik haberleşme hizmeti veren kamusal haberleşme sağlayıcılar, kendi sistemlerinde kayıtlı olan </w:t>
                  </w:r>
                  <w:r w:rsidR="0081796D" w:rsidRPr="00CE3895">
                    <w:rPr>
                      <w:lang w:val="tr-TR"/>
                    </w:rPr>
                    <w:t xml:space="preserve">her bir </w:t>
                  </w:r>
                  <w:r w:rsidRPr="00CE3895">
                    <w:rPr>
                      <w:lang w:val="tr-TR"/>
                    </w:rPr>
                    <w:t xml:space="preserve">faturalı ve ön ödemeli aktif </w:t>
                  </w:r>
                  <w:r w:rsidR="0081796D" w:rsidRPr="00CE3895">
                    <w:rPr>
                      <w:lang w:val="tr-TR"/>
                    </w:rPr>
                    <w:t xml:space="preserve">hat </w:t>
                  </w:r>
                  <w:r w:rsidR="00CE2731" w:rsidRPr="00CE3895">
                    <w:rPr>
                      <w:lang w:val="tr-TR"/>
                    </w:rPr>
                    <w:t>abonesinden bu</w:t>
                  </w:r>
                  <w:r w:rsidRPr="00CE3895">
                    <w:rPr>
                      <w:lang w:val="tr-TR"/>
                    </w:rPr>
                    <w:t xml:space="preserve"> Tüzüğe ekli Birinci Cetvel’de belirtilen ücretleri Kurum adına tahsil ederler.</w:t>
                  </w:r>
                </w:p>
              </w:tc>
            </w:tr>
            <w:bookmarkEnd w:id="1"/>
            <w:tr w:rsidR="005C3B1B" w:rsidRPr="00CE3895" w14:paraId="2B883837" w14:textId="77777777" w:rsidTr="005C3B1B">
              <w:trPr>
                <w:trHeight w:val="252"/>
              </w:trPr>
              <w:tc>
                <w:tcPr>
                  <w:tcW w:w="1542" w:type="dxa"/>
                </w:tcPr>
                <w:p w14:paraId="031F21F5" w14:textId="77777777" w:rsidR="005C3B1B" w:rsidRPr="00CE3895" w:rsidRDefault="005C3B1B" w:rsidP="00FC6F72">
                  <w:pPr>
                    <w:jc w:val="both"/>
                    <w:rPr>
                      <w:lang w:val="tr-TR"/>
                    </w:rPr>
                  </w:pPr>
                </w:p>
              </w:tc>
              <w:tc>
                <w:tcPr>
                  <w:tcW w:w="600" w:type="dxa"/>
                </w:tcPr>
                <w:p w14:paraId="5C666FF2" w14:textId="77777777" w:rsidR="005C3B1B" w:rsidRPr="00CE3895" w:rsidRDefault="005C3B1B" w:rsidP="00FC6F72">
                  <w:pPr>
                    <w:jc w:val="both"/>
                    <w:rPr>
                      <w:lang w:val="tr-TR"/>
                    </w:rPr>
                  </w:pPr>
                </w:p>
              </w:tc>
              <w:tc>
                <w:tcPr>
                  <w:tcW w:w="567" w:type="dxa"/>
                </w:tcPr>
                <w:p w14:paraId="60E17CBE" w14:textId="77777777" w:rsidR="005C3B1B" w:rsidRPr="00CE3895" w:rsidRDefault="005C3B1B" w:rsidP="00FC6F72">
                  <w:pPr>
                    <w:jc w:val="both"/>
                    <w:rPr>
                      <w:lang w:val="tr-TR"/>
                    </w:rPr>
                  </w:pPr>
                  <w:r w:rsidRPr="00CE3895">
                    <w:rPr>
                      <w:lang w:val="tr-TR"/>
                    </w:rPr>
                    <w:t>(2)</w:t>
                  </w:r>
                </w:p>
              </w:tc>
              <w:tc>
                <w:tcPr>
                  <w:tcW w:w="3462" w:type="dxa"/>
                </w:tcPr>
                <w:p w14:paraId="457B7019" w14:textId="5602DCDF" w:rsidR="005C3B1B" w:rsidRPr="00CE3895" w:rsidRDefault="005C3B1B" w:rsidP="00FC6F72">
                  <w:pPr>
                    <w:jc w:val="both"/>
                    <w:rPr>
                      <w:lang w:val="tr-TR"/>
                    </w:rPr>
                  </w:pPr>
                  <w:r w:rsidRPr="00CE3895">
                    <w:rPr>
                      <w:lang w:val="tr-TR"/>
                    </w:rPr>
                    <w:t>Mobil terminal telsiz ruhsat ücreti, haberleşme sağlayıcı tarafından abonelik sözleşmesinin imzalanması esnasında sisteme kaydı yapılan</w:t>
                  </w:r>
                  <w:r w:rsidR="0081796D" w:rsidRPr="00CE3895">
                    <w:rPr>
                      <w:lang w:val="tr-TR"/>
                    </w:rPr>
                    <w:t xml:space="preserve"> ve </w:t>
                  </w:r>
                  <w:r w:rsidR="0081796D" w:rsidRPr="00CE3895">
                    <w:t xml:space="preserve">abonelik sözleşmesinde yer alan her </w:t>
                  </w:r>
                  <w:r w:rsidR="00CE2731" w:rsidRPr="00CE3895">
                    <w:t>bir</w:t>
                  </w:r>
                  <w:r w:rsidR="00CE2731" w:rsidRPr="00CE3895">
                    <w:rPr>
                      <w:lang w:val="tr-TR"/>
                    </w:rPr>
                    <w:t xml:space="preserve"> ön</w:t>
                  </w:r>
                  <w:r w:rsidRPr="00CE3895">
                    <w:rPr>
                      <w:lang w:val="tr-TR"/>
                    </w:rPr>
                    <w:t xml:space="preserve"> ödemeli ve faturalı </w:t>
                  </w:r>
                  <w:r w:rsidR="0081796D" w:rsidRPr="00CE3895">
                    <w:rPr>
                      <w:lang w:val="tr-TR"/>
                    </w:rPr>
                    <w:t xml:space="preserve">hat </w:t>
                  </w:r>
                  <w:r w:rsidRPr="00CE3895">
                    <w:rPr>
                      <w:lang w:val="tr-TR"/>
                    </w:rPr>
                    <w:t>abone</w:t>
                  </w:r>
                  <w:r w:rsidR="0081796D" w:rsidRPr="00CE3895">
                    <w:rPr>
                      <w:lang w:val="tr-TR"/>
                    </w:rPr>
                    <w:t>sinden</w:t>
                  </w:r>
                  <w:r w:rsidRPr="00CE3895">
                    <w:rPr>
                      <w:lang w:val="tr-TR"/>
                    </w:rPr>
                    <w:t xml:space="preserve"> bir defaya mahsus olmak üzere Kurum adına tahsil edilir.</w:t>
                  </w:r>
                </w:p>
              </w:tc>
            </w:tr>
            <w:tr w:rsidR="005C3B1B" w:rsidRPr="00CE3895" w14:paraId="2B687F5B" w14:textId="77777777" w:rsidTr="005C3B1B">
              <w:trPr>
                <w:trHeight w:val="252"/>
              </w:trPr>
              <w:tc>
                <w:tcPr>
                  <w:tcW w:w="1542" w:type="dxa"/>
                </w:tcPr>
                <w:p w14:paraId="23E1543F" w14:textId="77777777" w:rsidR="005C3B1B" w:rsidRPr="00CE3895" w:rsidRDefault="005C3B1B" w:rsidP="00FC6F72">
                  <w:pPr>
                    <w:jc w:val="both"/>
                    <w:rPr>
                      <w:lang w:val="tr-TR"/>
                    </w:rPr>
                  </w:pPr>
                </w:p>
              </w:tc>
              <w:tc>
                <w:tcPr>
                  <w:tcW w:w="600" w:type="dxa"/>
                </w:tcPr>
                <w:p w14:paraId="1669CC8E" w14:textId="77777777" w:rsidR="005C3B1B" w:rsidRPr="00CE3895" w:rsidRDefault="005C3B1B" w:rsidP="00FC6F72">
                  <w:pPr>
                    <w:jc w:val="both"/>
                    <w:rPr>
                      <w:lang w:val="tr-TR"/>
                    </w:rPr>
                  </w:pPr>
                </w:p>
              </w:tc>
              <w:tc>
                <w:tcPr>
                  <w:tcW w:w="567" w:type="dxa"/>
                </w:tcPr>
                <w:p w14:paraId="73D92AFD" w14:textId="77777777" w:rsidR="005C3B1B" w:rsidRPr="00CE3895" w:rsidRDefault="005C3B1B" w:rsidP="00FC6F72">
                  <w:pPr>
                    <w:jc w:val="both"/>
                    <w:rPr>
                      <w:lang w:val="tr-TR"/>
                    </w:rPr>
                  </w:pPr>
                  <w:r w:rsidRPr="00CE3895">
                    <w:rPr>
                      <w:lang w:val="tr-TR"/>
                    </w:rPr>
                    <w:t>(3)</w:t>
                  </w:r>
                </w:p>
              </w:tc>
              <w:tc>
                <w:tcPr>
                  <w:tcW w:w="3462" w:type="dxa"/>
                </w:tcPr>
                <w:p w14:paraId="6D533015" w14:textId="0546927F" w:rsidR="005C3B1B" w:rsidRPr="00CE3895" w:rsidRDefault="005C3B1B" w:rsidP="00FC6F72">
                  <w:pPr>
                    <w:jc w:val="both"/>
                    <w:rPr>
                      <w:lang w:val="tr-TR"/>
                    </w:rPr>
                  </w:pPr>
                  <w:r w:rsidRPr="00CE3895">
                    <w:rPr>
                      <w:lang w:val="tr-TR"/>
                    </w:rPr>
                    <w:t xml:space="preserve">Mobil terminal telsiz kullanım ücreti, haberleşme sağlayıcılar tarafından kendi sistemlerine kayıtlı </w:t>
                  </w:r>
                  <w:r w:rsidR="0081796D" w:rsidRPr="00CE3895">
                    <w:rPr>
                      <w:lang w:val="tr-TR"/>
                    </w:rPr>
                    <w:t>her bir</w:t>
                  </w:r>
                  <w:r w:rsidRPr="00CE3895">
                    <w:rPr>
                      <w:lang w:val="tr-TR"/>
                    </w:rPr>
                    <w:t xml:space="preserve"> faturalı ve ön ödemeli</w:t>
                  </w:r>
                  <w:r w:rsidR="0081796D" w:rsidRPr="00CE3895">
                    <w:rPr>
                      <w:lang w:val="tr-TR"/>
                    </w:rPr>
                    <w:t xml:space="preserve"> hat</w:t>
                  </w:r>
                  <w:r w:rsidRPr="00CE3895">
                    <w:rPr>
                      <w:lang w:val="tr-TR"/>
                    </w:rPr>
                    <w:t xml:space="preserve"> </w:t>
                  </w:r>
                  <w:r w:rsidR="00CE2731" w:rsidRPr="00CE3895">
                    <w:rPr>
                      <w:lang w:val="tr-TR"/>
                    </w:rPr>
                    <w:t>abonesinden aktif</w:t>
                  </w:r>
                  <w:r w:rsidRPr="00CE3895">
                    <w:rPr>
                      <w:lang w:val="tr-TR"/>
                    </w:rPr>
                    <w:t xml:space="preserve"> </w:t>
                  </w:r>
                  <w:r w:rsidR="0081796D" w:rsidRPr="00CE3895">
                    <w:rPr>
                      <w:lang w:val="tr-TR"/>
                    </w:rPr>
                    <w:t xml:space="preserve">olunan </w:t>
                  </w:r>
                  <w:r w:rsidRPr="00CE3895">
                    <w:rPr>
                      <w:lang w:val="tr-TR"/>
                    </w:rPr>
                    <w:t>her ay için tahsil edilir.</w:t>
                  </w:r>
                </w:p>
              </w:tc>
            </w:tr>
            <w:tr w:rsidR="005C3B1B" w:rsidRPr="00CE3895" w14:paraId="75C786A1" w14:textId="77777777" w:rsidTr="005C3B1B">
              <w:trPr>
                <w:trHeight w:val="252"/>
              </w:trPr>
              <w:tc>
                <w:tcPr>
                  <w:tcW w:w="1542" w:type="dxa"/>
                </w:tcPr>
                <w:p w14:paraId="62EA84EC" w14:textId="77777777" w:rsidR="005C3B1B" w:rsidRPr="00CE3895" w:rsidRDefault="005C3B1B" w:rsidP="00FC6F72">
                  <w:pPr>
                    <w:jc w:val="both"/>
                    <w:rPr>
                      <w:lang w:val="tr-TR"/>
                    </w:rPr>
                  </w:pPr>
                </w:p>
              </w:tc>
              <w:tc>
                <w:tcPr>
                  <w:tcW w:w="600" w:type="dxa"/>
                </w:tcPr>
                <w:p w14:paraId="59FA3AC8" w14:textId="77777777" w:rsidR="005C3B1B" w:rsidRPr="00CE3895" w:rsidRDefault="005C3B1B" w:rsidP="00FC6F72">
                  <w:pPr>
                    <w:jc w:val="both"/>
                    <w:rPr>
                      <w:lang w:val="tr-TR"/>
                    </w:rPr>
                  </w:pPr>
                </w:p>
              </w:tc>
              <w:tc>
                <w:tcPr>
                  <w:tcW w:w="567" w:type="dxa"/>
                </w:tcPr>
                <w:p w14:paraId="6FADFDD2" w14:textId="77777777" w:rsidR="005C3B1B" w:rsidRPr="00CE3895" w:rsidRDefault="005C3B1B" w:rsidP="00FC6F72">
                  <w:pPr>
                    <w:jc w:val="both"/>
                    <w:rPr>
                      <w:lang w:val="tr-TR"/>
                    </w:rPr>
                  </w:pPr>
                  <w:r w:rsidRPr="00CE3895">
                    <w:rPr>
                      <w:lang w:val="tr-TR"/>
                    </w:rPr>
                    <w:t>(4)</w:t>
                  </w:r>
                </w:p>
              </w:tc>
              <w:tc>
                <w:tcPr>
                  <w:tcW w:w="3462" w:type="dxa"/>
                </w:tcPr>
                <w:p w14:paraId="00EF421A" w14:textId="77777777" w:rsidR="005C3B1B" w:rsidRPr="00CE3895" w:rsidRDefault="005C3B1B" w:rsidP="00FC6F72">
                  <w:pPr>
                    <w:jc w:val="both"/>
                    <w:rPr>
                      <w:lang w:val="tr-TR"/>
                    </w:rPr>
                  </w:pPr>
                  <w:r w:rsidRPr="00CE3895">
                    <w:rPr>
                      <w:lang w:val="tr-TR"/>
                    </w:rPr>
                    <w:t>Ücretlerde değişiklik olması halinde kullanılacak yeni ücret, değişikliğinin yürürlüğe girdiği aydan sonraki 2’nci (İkinci) ayda uygulanmaya başlanır.”</w:t>
                  </w:r>
                </w:p>
              </w:tc>
            </w:tr>
          </w:tbl>
          <w:p w14:paraId="0284CE9F" w14:textId="77777777" w:rsidR="00DE379F" w:rsidRPr="00CE3895" w:rsidRDefault="00DE379F" w:rsidP="00FC6F72">
            <w:pPr>
              <w:ind w:left="730" w:hanging="730"/>
              <w:jc w:val="both"/>
              <w:rPr>
                <w:lang w:val="tr-TR"/>
              </w:rPr>
            </w:pPr>
          </w:p>
          <w:p w14:paraId="3BF759A4" w14:textId="77777777" w:rsidR="0018626D" w:rsidRPr="00CE3895" w:rsidRDefault="0018626D" w:rsidP="00FC6F72">
            <w:pPr>
              <w:ind w:left="730" w:hanging="730"/>
              <w:jc w:val="both"/>
              <w:rPr>
                <w:lang w:val="tr-TR"/>
              </w:rPr>
            </w:pPr>
          </w:p>
          <w:p w14:paraId="1B36C50B" w14:textId="77777777" w:rsidR="0018626D" w:rsidRPr="00CE3895" w:rsidRDefault="0018626D" w:rsidP="00FC6F72">
            <w:pPr>
              <w:ind w:left="730" w:hanging="730"/>
              <w:jc w:val="both"/>
              <w:rPr>
                <w:sz w:val="2"/>
                <w:lang w:val="tr-TR"/>
              </w:rPr>
            </w:pPr>
          </w:p>
          <w:p w14:paraId="1F320706" w14:textId="19358A9F" w:rsidR="005C3B1B" w:rsidRPr="00CE3895" w:rsidRDefault="005C3B1B" w:rsidP="00FC6F72">
            <w:pPr>
              <w:ind w:left="730" w:hanging="730"/>
              <w:jc w:val="both"/>
              <w:rPr>
                <w:lang w:val="tr-TR"/>
              </w:rPr>
            </w:pPr>
          </w:p>
          <w:p w14:paraId="3613B587" w14:textId="2D27C5A0" w:rsidR="00CE3895" w:rsidRPr="00CE3895" w:rsidRDefault="00CE3895" w:rsidP="00FC6F72">
            <w:pPr>
              <w:ind w:left="730" w:hanging="730"/>
              <w:jc w:val="both"/>
              <w:rPr>
                <w:lang w:val="tr-TR"/>
              </w:rPr>
            </w:pPr>
          </w:p>
          <w:p w14:paraId="69D54CD6" w14:textId="36F1930C" w:rsidR="00CE3895" w:rsidRPr="00CE3895" w:rsidRDefault="00CE3895" w:rsidP="00FC6F72">
            <w:pPr>
              <w:ind w:left="730" w:hanging="730"/>
              <w:jc w:val="both"/>
              <w:rPr>
                <w:lang w:val="tr-TR"/>
              </w:rPr>
            </w:pPr>
          </w:p>
          <w:p w14:paraId="6CA2FD03" w14:textId="43D14B22" w:rsidR="00CE3895" w:rsidRPr="00CE3895" w:rsidRDefault="00CE3895" w:rsidP="00FC6F72">
            <w:pPr>
              <w:ind w:left="730" w:hanging="730"/>
              <w:jc w:val="both"/>
              <w:rPr>
                <w:lang w:val="tr-TR"/>
              </w:rPr>
            </w:pPr>
          </w:p>
          <w:p w14:paraId="4F3C38AF" w14:textId="5457698A" w:rsidR="00CE3895" w:rsidRPr="00CE3895" w:rsidRDefault="00CE3895" w:rsidP="00FC6F72">
            <w:pPr>
              <w:ind w:left="730" w:hanging="730"/>
              <w:jc w:val="both"/>
              <w:rPr>
                <w:lang w:val="tr-TR"/>
              </w:rPr>
            </w:pPr>
          </w:p>
          <w:p w14:paraId="3878B66A" w14:textId="09FACDD6" w:rsidR="00CE3895" w:rsidRPr="00CE3895" w:rsidRDefault="00CE3895" w:rsidP="00FC6F72">
            <w:pPr>
              <w:ind w:left="730" w:hanging="730"/>
              <w:jc w:val="both"/>
              <w:rPr>
                <w:lang w:val="tr-TR"/>
              </w:rPr>
            </w:pPr>
          </w:p>
          <w:p w14:paraId="75B74F99" w14:textId="77777777" w:rsidR="00CE3895" w:rsidRPr="00CE3895" w:rsidRDefault="00CE3895" w:rsidP="00FC6F72">
            <w:pPr>
              <w:ind w:left="730" w:hanging="730"/>
              <w:jc w:val="both"/>
              <w:rPr>
                <w:lang w:val="tr-TR"/>
              </w:rPr>
            </w:pPr>
          </w:p>
          <w:p w14:paraId="5D44245B" w14:textId="77777777" w:rsidR="005C3B1B" w:rsidRPr="00CE3895" w:rsidRDefault="003A65C8" w:rsidP="003A65C8">
            <w:pPr>
              <w:ind w:left="305" w:hanging="305"/>
              <w:jc w:val="both"/>
              <w:rPr>
                <w:lang w:val="tr-TR"/>
              </w:rPr>
            </w:pPr>
            <w:r w:rsidRPr="00CE3895">
              <w:rPr>
                <w:lang w:val="tr-TR"/>
              </w:rPr>
              <w:lastRenderedPageBreak/>
              <w:t>4. Esas Tüzük,  7’nci, 8’inci, 9’uncu ve 10’uncu  maddelerine bağlı Birinci Cetvel’in 7’nci, 8’inci, 9’uncu, 10’uncu ve 12’nci maddelerine bağlı olması, Cetvelde yer alan “TELSİZ ÜCRETLERİ, Ücret</w:t>
            </w:r>
            <w:r w:rsidR="00DD1BE5" w:rsidRPr="00CE3895">
              <w:rPr>
                <w:lang w:val="tr-TR"/>
              </w:rPr>
              <w:t>ler</w:t>
            </w:r>
            <w:r w:rsidRPr="00CE3895">
              <w:rPr>
                <w:lang w:val="tr-TR"/>
              </w:rPr>
              <w:t xml:space="preserve"> (TL)” başlığı altında yer alan “1. TELSİZ RUHSAT ÜCRETLERİ (Kayıt Başına)” maddesinin “b. Karasal mobil (cellular) telsiz telefon sistemi” alt başlığı </w:t>
            </w:r>
            <w:r w:rsidR="00DD1BE5" w:rsidRPr="00CE3895">
              <w:rPr>
                <w:lang w:val="tr-TR"/>
              </w:rPr>
              <w:t>altına</w:t>
            </w:r>
            <w:r w:rsidRPr="00CE3895">
              <w:rPr>
                <w:lang w:val="tr-TR"/>
              </w:rPr>
              <w:t xml:space="preserve"> “2) Sisteme kaydolan her abone başına, Kayıt Başına, 0,00</w:t>
            </w:r>
            <w:r w:rsidR="00297AF7" w:rsidRPr="00CE3895">
              <w:rPr>
                <w:lang w:val="tr-TR"/>
              </w:rPr>
              <w:t>090</w:t>
            </w:r>
            <w:r w:rsidRPr="00CE3895">
              <w:rPr>
                <w:lang w:val="tr-TR"/>
              </w:rPr>
              <w:t xml:space="preserve"> x ASÜ satırı konmak ve “TELSİZ ÜCRETLERİ, Ücret</w:t>
            </w:r>
            <w:r w:rsidR="00DD1BE5" w:rsidRPr="00CE3895">
              <w:rPr>
                <w:lang w:val="tr-TR"/>
              </w:rPr>
              <w:t>ler</w:t>
            </w:r>
            <w:r w:rsidRPr="00CE3895">
              <w:rPr>
                <w:lang w:val="tr-TR"/>
              </w:rPr>
              <w:t xml:space="preserve"> (TL)” başlığı altında yer alan “2. TELSİZ KULLANMA ÜCRETLERİ (HER YIL İÇİN) maddesinin “b. Karasal mobil (cellular) telsiz telefon sistemi” alt başlığı</w:t>
            </w:r>
            <w:r w:rsidR="00297AF7" w:rsidRPr="00CE3895">
              <w:rPr>
                <w:lang w:val="tr-TR"/>
              </w:rPr>
              <w:t xml:space="preserve"> altına</w:t>
            </w:r>
            <w:r w:rsidRPr="00CE3895">
              <w:rPr>
                <w:lang w:val="tr-TR"/>
              </w:rPr>
              <w:t xml:space="preserve"> “2) Sistemdeki her aktif abone başına aboneden alınacak aylık ücret, </w:t>
            </w:r>
            <w:r w:rsidR="00297AF7" w:rsidRPr="00CE3895">
              <w:rPr>
                <w:lang w:val="tr-TR"/>
              </w:rPr>
              <w:t>Aylık Ücret</w:t>
            </w:r>
            <w:r w:rsidRPr="00CE3895">
              <w:rPr>
                <w:lang w:val="tr-TR"/>
              </w:rPr>
              <w:t xml:space="preserve">, </w:t>
            </w:r>
            <w:r w:rsidR="00297AF7" w:rsidRPr="00CE3895">
              <w:rPr>
                <w:lang w:val="tr-TR"/>
              </w:rPr>
              <w:t xml:space="preserve">  0,000175</w:t>
            </w:r>
            <w:r w:rsidR="00E248EE" w:rsidRPr="00CE3895">
              <w:rPr>
                <w:lang w:val="tr-TR"/>
              </w:rPr>
              <w:t xml:space="preserve"> x ASÜ</w:t>
            </w:r>
            <w:r w:rsidRPr="00CE3895">
              <w:rPr>
                <w:lang w:val="tr-TR"/>
              </w:rPr>
              <w:t>” satırı konmak suretiyle değiştirilir</w:t>
            </w:r>
          </w:p>
          <w:p w14:paraId="1A339339" w14:textId="77777777" w:rsidR="005B3632" w:rsidRPr="00CE3895" w:rsidRDefault="005B3632" w:rsidP="005C3B1B">
            <w:pPr>
              <w:ind w:left="1439" w:hanging="3261"/>
              <w:jc w:val="both"/>
              <w:rPr>
                <w:lang w:val="tr-TR"/>
              </w:rPr>
            </w:pPr>
          </w:p>
        </w:tc>
      </w:tr>
      <w:tr w:rsidR="005C3B1B" w:rsidRPr="00CE3895" w14:paraId="30F438FC" w14:textId="77777777" w:rsidTr="006C081F">
        <w:tc>
          <w:tcPr>
            <w:tcW w:w="1714" w:type="dxa"/>
          </w:tcPr>
          <w:p w14:paraId="6E6BF211" w14:textId="77777777" w:rsidR="005C3B1B" w:rsidRPr="00CE3895" w:rsidRDefault="005C3B1B" w:rsidP="006C081F">
            <w:pPr>
              <w:rPr>
                <w:lang w:val="tr-TR"/>
              </w:rPr>
            </w:pPr>
            <w:r w:rsidRPr="00CE3895">
              <w:rPr>
                <w:lang w:val="tr-TR"/>
              </w:rPr>
              <w:lastRenderedPageBreak/>
              <w:t>Yürürlüğe  Giriş</w:t>
            </w:r>
          </w:p>
        </w:tc>
        <w:tc>
          <w:tcPr>
            <w:tcW w:w="7101" w:type="dxa"/>
            <w:gridSpan w:val="3"/>
          </w:tcPr>
          <w:p w14:paraId="3E327661" w14:textId="5CA59F14" w:rsidR="005C3B1B" w:rsidRPr="00CE3895" w:rsidRDefault="00333040" w:rsidP="006C081F">
            <w:pPr>
              <w:jc w:val="both"/>
              <w:rPr>
                <w:lang w:val="tr-TR"/>
              </w:rPr>
            </w:pPr>
            <w:r w:rsidRPr="00CE3895">
              <w:rPr>
                <w:lang w:val="tr-TR"/>
              </w:rPr>
              <w:t>5</w:t>
            </w:r>
            <w:r w:rsidR="005C3B1B" w:rsidRPr="00CE3895">
              <w:rPr>
                <w:lang w:val="tr-TR"/>
              </w:rPr>
              <w:t xml:space="preserve">. Bu Tüzük, </w:t>
            </w:r>
            <w:r w:rsidRPr="00CE3895">
              <w:rPr>
                <w:lang w:val="tr-TR"/>
              </w:rPr>
              <w:t>01 Ocak 2021</w:t>
            </w:r>
            <w:r w:rsidR="005C3B1B" w:rsidRPr="00CE3895">
              <w:rPr>
                <w:lang w:val="tr-TR"/>
              </w:rPr>
              <w:t xml:space="preserve"> tarih</w:t>
            </w:r>
            <w:r w:rsidRPr="00CE3895">
              <w:rPr>
                <w:lang w:val="tr-TR"/>
              </w:rPr>
              <w:t>inden başlayarak</w:t>
            </w:r>
            <w:r w:rsidR="005C3B1B" w:rsidRPr="00CE3895">
              <w:rPr>
                <w:lang w:val="tr-TR"/>
              </w:rPr>
              <w:t xml:space="preserve"> yürürlüğe girer. </w:t>
            </w:r>
          </w:p>
        </w:tc>
      </w:tr>
      <w:tr w:rsidR="00785BA2" w:rsidRPr="00CE3895" w14:paraId="4D144B17" w14:textId="77777777" w:rsidTr="00D90B72">
        <w:tc>
          <w:tcPr>
            <w:tcW w:w="1714" w:type="dxa"/>
          </w:tcPr>
          <w:p w14:paraId="243AFBE8" w14:textId="77777777" w:rsidR="00785BA2" w:rsidRPr="00CE3895" w:rsidRDefault="00785BA2" w:rsidP="00785BA2">
            <w:pPr>
              <w:rPr>
                <w:lang w:val="tr-TR"/>
              </w:rPr>
            </w:pPr>
          </w:p>
        </w:tc>
        <w:tc>
          <w:tcPr>
            <w:tcW w:w="7101" w:type="dxa"/>
            <w:gridSpan w:val="3"/>
          </w:tcPr>
          <w:p w14:paraId="05DEBD64" w14:textId="77777777" w:rsidR="00785BA2" w:rsidRPr="00CE3895" w:rsidRDefault="00785BA2" w:rsidP="00785BA2">
            <w:pPr>
              <w:jc w:val="both"/>
              <w:rPr>
                <w:lang w:val="tr-TR"/>
              </w:rPr>
            </w:pPr>
          </w:p>
        </w:tc>
      </w:tr>
    </w:tbl>
    <w:p w14:paraId="1E91A02D" w14:textId="77777777" w:rsidR="00965759" w:rsidRPr="00636442" w:rsidRDefault="00965759" w:rsidP="00965759">
      <w:pPr>
        <w:pStyle w:val="p1"/>
      </w:pPr>
    </w:p>
    <w:tbl>
      <w:tblPr>
        <w:tblW w:w="8815" w:type="dxa"/>
        <w:tblLayout w:type="fixed"/>
        <w:tblLook w:val="01E0" w:firstRow="1" w:lastRow="1" w:firstColumn="1" w:lastColumn="1" w:noHBand="0" w:noVBand="0"/>
      </w:tblPr>
      <w:tblGrid>
        <w:gridCol w:w="1714"/>
        <w:gridCol w:w="1229"/>
        <w:gridCol w:w="236"/>
        <w:gridCol w:w="5636"/>
      </w:tblGrid>
      <w:tr w:rsidR="00B20475" w:rsidRPr="00636442" w14:paraId="0A27B81A" w14:textId="77777777" w:rsidTr="00DF7197">
        <w:tc>
          <w:tcPr>
            <w:tcW w:w="1714" w:type="dxa"/>
          </w:tcPr>
          <w:p w14:paraId="53BAAAA0" w14:textId="77777777" w:rsidR="00B20475" w:rsidRPr="00636442" w:rsidRDefault="00B20475" w:rsidP="00DF7197">
            <w:pPr>
              <w:jc w:val="both"/>
              <w:rPr>
                <w:lang w:val="tr-TR"/>
              </w:rPr>
            </w:pPr>
          </w:p>
        </w:tc>
        <w:tc>
          <w:tcPr>
            <w:tcW w:w="1229" w:type="dxa"/>
          </w:tcPr>
          <w:p w14:paraId="3B309285" w14:textId="77777777" w:rsidR="00B20475" w:rsidRPr="00636442" w:rsidRDefault="00B20475" w:rsidP="00DF7197">
            <w:pPr>
              <w:jc w:val="both"/>
              <w:rPr>
                <w:lang w:val="tr-TR"/>
              </w:rPr>
            </w:pPr>
          </w:p>
        </w:tc>
        <w:tc>
          <w:tcPr>
            <w:tcW w:w="236" w:type="dxa"/>
          </w:tcPr>
          <w:p w14:paraId="5171BC5A" w14:textId="77777777" w:rsidR="00B20475" w:rsidRPr="00636442" w:rsidRDefault="00B20475" w:rsidP="00DF7197">
            <w:pPr>
              <w:jc w:val="both"/>
              <w:rPr>
                <w:lang w:val="tr-TR"/>
              </w:rPr>
            </w:pPr>
          </w:p>
        </w:tc>
        <w:tc>
          <w:tcPr>
            <w:tcW w:w="5636" w:type="dxa"/>
          </w:tcPr>
          <w:p w14:paraId="13539FD7" w14:textId="77777777" w:rsidR="00B20475" w:rsidRPr="00636442" w:rsidRDefault="00B20475" w:rsidP="00DF7197">
            <w:pPr>
              <w:jc w:val="both"/>
              <w:rPr>
                <w:rFonts w:eastAsia="Calibri"/>
                <w:lang w:val="tr-TR"/>
              </w:rPr>
            </w:pPr>
          </w:p>
        </w:tc>
      </w:tr>
    </w:tbl>
    <w:p w14:paraId="30CE6B61" w14:textId="77777777" w:rsidR="00BD1AD4" w:rsidRPr="00636442" w:rsidRDefault="00BD1AD4">
      <w:pPr>
        <w:rPr>
          <w:lang w:val="tr-TR"/>
        </w:rPr>
      </w:pPr>
    </w:p>
    <w:sectPr w:rsidR="00BD1AD4" w:rsidRPr="0063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2466"/>
    <w:multiLevelType w:val="hybridMultilevel"/>
    <w:tmpl w:val="AA4CC3B2"/>
    <w:lvl w:ilvl="0" w:tplc="5628BF68">
      <w:start w:val="1"/>
      <w:numFmt w:val="upperLetter"/>
      <w:lvlText w:val="(%1)"/>
      <w:lvlJc w:val="left"/>
      <w:pPr>
        <w:ind w:left="428" w:hanging="360"/>
      </w:pPr>
      <w:rPr>
        <w:rFonts w:eastAsia="Times New Roman"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 w15:restartNumberingAfterBreak="0">
    <w:nsid w:val="354856BB"/>
    <w:multiLevelType w:val="hybridMultilevel"/>
    <w:tmpl w:val="AC6A0230"/>
    <w:lvl w:ilvl="0" w:tplc="AC1C44F4">
      <w:start w:val="1"/>
      <w:numFmt w:val="decimal"/>
      <w:lvlText w:val="(%1)"/>
      <w:lvlJc w:val="left"/>
      <w:pPr>
        <w:ind w:left="928" w:hanging="375"/>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A92"/>
    <w:rsid w:val="00032461"/>
    <w:rsid w:val="00155677"/>
    <w:rsid w:val="00171CF7"/>
    <w:rsid w:val="0018626D"/>
    <w:rsid w:val="00186C00"/>
    <w:rsid w:val="001A5500"/>
    <w:rsid w:val="001A5B6E"/>
    <w:rsid w:val="001E7E45"/>
    <w:rsid w:val="001F7387"/>
    <w:rsid w:val="00297AF7"/>
    <w:rsid w:val="002C6A1A"/>
    <w:rsid w:val="00307DFD"/>
    <w:rsid w:val="003272AA"/>
    <w:rsid w:val="00333040"/>
    <w:rsid w:val="00392B33"/>
    <w:rsid w:val="003A65C8"/>
    <w:rsid w:val="003C51F3"/>
    <w:rsid w:val="00405452"/>
    <w:rsid w:val="0043038D"/>
    <w:rsid w:val="00450CFF"/>
    <w:rsid w:val="004570F2"/>
    <w:rsid w:val="004E71ED"/>
    <w:rsid w:val="004F08FF"/>
    <w:rsid w:val="00571961"/>
    <w:rsid w:val="005751E6"/>
    <w:rsid w:val="005853C9"/>
    <w:rsid w:val="005B3632"/>
    <w:rsid w:val="005C3B1B"/>
    <w:rsid w:val="00636442"/>
    <w:rsid w:val="006769D5"/>
    <w:rsid w:val="006D0C2F"/>
    <w:rsid w:val="00720CBB"/>
    <w:rsid w:val="00781EE3"/>
    <w:rsid w:val="00783991"/>
    <w:rsid w:val="00785BA2"/>
    <w:rsid w:val="00816D70"/>
    <w:rsid w:val="0081796D"/>
    <w:rsid w:val="008269F3"/>
    <w:rsid w:val="00847008"/>
    <w:rsid w:val="00851671"/>
    <w:rsid w:val="008B45C5"/>
    <w:rsid w:val="009138C4"/>
    <w:rsid w:val="00965759"/>
    <w:rsid w:val="0099726A"/>
    <w:rsid w:val="00A21681"/>
    <w:rsid w:val="00A62CA0"/>
    <w:rsid w:val="00AB4C44"/>
    <w:rsid w:val="00B139F9"/>
    <w:rsid w:val="00B20475"/>
    <w:rsid w:val="00BD1AD4"/>
    <w:rsid w:val="00C11231"/>
    <w:rsid w:val="00C54EDA"/>
    <w:rsid w:val="00C8735A"/>
    <w:rsid w:val="00C91659"/>
    <w:rsid w:val="00CB5CEE"/>
    <w:rsid w:val="00CC1FCB"/>
    <w:rsid w:val="00CE2731"/>
    <w:rsid w:val="00CE3895"/>
    <w:rsid w:val="00D22AD4"/>
    <w:rsid w:val="00D37FC8"/>
    <w:rsid w:val="00D51A92"/>
    <w:rsid w:val="00D90B72"/>
    <w:rsid w:val="00DA4FA3"/>
    <w:rsid w:val="00DC2562"/>
    <w:rsid w:val="00DC33C4"/>
    <w:rsid w:val="00DD1BE5"/>
    <w:rsid w:val="00DE379F"/>
    <w:rsid w:val="00DE63E7"/>
    <w:rsid w:val="00E248EE"/>
    <w:rsid w:val="00E33E00"/>
    <w:rsid w:val="00EB211B"/>
    <w:rsid w:val="00ED115B"/>
    <w:rsid w:val="00F13418"/>
    <w:rsid w:val="00F67749"/>
    <w:rsid w:val="00FC1515"/>
    <w:rsid w:val="00FC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FE31"/>
  <w15:chartTrackingRefBased/>
  <w15:docId w15:val="{46492C59-5D3E-460C-9F3E-7A79D7A5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7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65759"/>
    <w:pPr>
      <w:spacing w:before="100" w:beforeAutospacing="1" w:after="100" w:afterAutospacing="1"/>
    </w:pPr>
    <w:rPr>
      <w:rFonts w:ascii="Arial" w:hAnsi="Arial" w:cs="Arial"/>
      <w:color w:val="000000"/>
      <w:sz w:val="20"/>
      <w:szCs w:val="20"/>
      <w:lang w:val="tr-TR" w:eastAsia="tr-TR"/>
    </w:rPr>
  </w:style>
  <w:style w:type="character" w:styleId="CommentReference">
    <w:name w:val="annotation reference"/>
    <w:rsid w:val="00AB4C44"/>
    <w:rPr>
      <w:sz w:val="16"/>
      <w:szCs w:val="16"/>
    </w:rPr>
  </w:style>
  <w:style w:type="paragraph" w:styleId="CommentText">
    <w:name w:val="annotation text"/>
    <w:basedOn w:val="Normal"/>
    <w:link w:val="CommentTextChar"/>
    <w:rsid w:val="00AB4C44"/>
    <w:rPr>
      <w:sz w:val="20"/>
      <w:szCs w:val="20"/>
      <w:lang w:val="tr-TR" w:eastAsia="tr-TR"/>
    </w:rPr>
  </w:style>
  <w:style w:type="character" w:customStyle="1" w:styleId="CommentTextChar">
    <w:name w:val="Comment Text Char"/>
    <w:basedOn w:val="DefaultParagraphFont"/>
    <w:link w:val="CommentText"/>
    <w:rsid w:val="00AB4C44"/>
    <w:rPr>
      <w:rFonts w:ascii="Times New Roman" w:eastAsia="Times New Roman" w:hAnsi="Times New Roman" w:cs="Times New Roman"/>
      <w:sz w:val="20"/>
      <w:szCs w:val="20"/>
      <w:lang w:val="tr-TR" w:eastAsia="tr-TR"/>
    </w:rPr>
  </w:style>
  <w:style w:type="paragraph" w:styleId="BalloonText">
    <w:name w:val="Balloon Text"/>
    <w:basedOn w:val="Normal"/>
    <w:link w:val="BalloonTextChar"/>
    <w:uiPriority w:val="99"/>
    <w:semiHidden/>
    <w:unhideWhenUsed/>
    <w:rsid w:val="00AB4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44"/>
    <w:rPr>
      <w:rFonts w:ascii="Segoe UI" w:eastAsia="Times New Roman" w:hAnsi="Segoe UI" w:cs="Segoe UI"/>
      <w:sz w:val="18"/>
      <w:szCs w:val="18"/>
    </w:rPr>
  </w:style>
  <w:style w:type="paragraph" w:styleId="ListParagraph">
    <w:name w:val="List Paragraph"/>
    <w:basedOn w:val="Normal"/>
    <w:uiPriority w:val="34"/>
    <w:qFormat/>
    <w:rsid w:val="00B139F9"/>
    <w:pPr>
      <w:ind w:left="720"/>
      <w:contextualSpacing/>
    </w:pPr>
  </w:style>
  <w:style w:type="table" w:styleId="TableGrid">
    <w:name w:val="Table Grid"/>
    <w:basedOn w:val="TableNormal"/>
    <w:uiPriority w:val="39"/>
    <w:rsid w:val="0099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13418"/>
    <w:rPr>
      <w:b/>
      <w:bCs/>
      <w:lang w:val="en-US" w:eastAsia="en-US"/>
    </w:rPr>
  </w:style>
  <w:style w:type="character" w:customStyle="1" w:styleId="CommentSubjectChar">
    <w:name w:val="Comment Subject Char"/>
    <w:basedOn w:val="CommentTextChar"/>
    <w:link w:val="CommentSubject"/>
    <w:uiPriority w:val="99"/>
    <w:semiHidden/>
    <w:rsid w:val="00F13418"/>
    <w:rPr>
      <w:rFonts w:ascii="Times New Roman" w:eastAsia="Times New Roman" w:hAnsi="Times New Roman" w:cs="Times New Roman"/>
      <w:b/>
      <w:bCs/>
      <w:sz w:val="20"/>
      <w:szCs w:val="20"/>
      <w:lang w:val="tr-TR" w:eastAsia="tr-TR"/>
    </w:rPr>
  </w:style>
  <w:style w:type="character" w:styleId="Strong">
    <w:name w:val="Strong"/>
    <w:qFormat/>
    <w:rsid w:val="00F1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18218">
      <w:bodyDiv w:val="1"/>
      <w:marLeft w:val="0"/>
      <w:marRight w:val="0"/>
      <w:marTop w:val="0"/>
      <w:marBottom w:val="0"/>
      <w:divBdr>
        <w:top w:val="none" w:sz="0" w:space="0" w:color="auto"/>
        <w:left w:val="none" w:sz="0" w:space="0" w:color="auto"/>
        <w:bottom w:val="none" w:sz="0" w:space="0" w:color="auto"/>
        <w:right w:val="none" w:sz="0" w:space="0" w:color="auto"/>
      </w:divBdr>
      <w:divsChild>
        <w:div w:id="106865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5E536D36E3B742B3898DB9FDD614D0" ma:contentTypeVersion="1" ma:contentTypeDescription="Create a new document." ma:contentTypeScope="" ma:versionID="f5311e78c205c2548e2445a7dfa00831">
  <xsd:schema xmlns:xsd="http://www.w3.org/2001/XMLSchema" xmlns:xs="http://www.w3.org/2001/XMLSchema" xmlns:p="http://schemas.microsoft.com/office/2006/metadata/properties" xmlns:ns1="http://schemas.microsoft.com/sharepoint/v3" targetNamespace="http://schemas.microsoft.com/office/2006/metadata/properties" ma:root="true" ma:fieldsID="8848a2ba6c071ade3fbb4801192a22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8C73C-9FCB-4CBD-A293-A634CE67325C}"/>
</file>

<file path=customXml/itemProps2.xml><?xml version="1.0" encoding="utf-8"?>
<ds:datastoreItem xmlns:ds="http://schemas.openxmlformats.org/officeDocument/2006/customXml" ds:itemID="{EE5CE44E-6993-48E7-B788-2DDB3A2EB59E}"/>
</file>

<file path=customXml/itemProps3.xml><?xml version="1.0" encoding="utf-8"?>
<ds:datastoreItem xmlns:ds="http://schemas.openxmlformats.org/officeDocument/2006/customXml" ds:itemID="{712BC8F8-256D-4ADD-BA10-AF03A92A8FF3}"/>
</file>

<file path=customXml/itemProps4.xml><?xml version="1.0" encoding="utf-8"?>
<ds:datastoreItem xmlns:ds="http://schemas.openxmlformats.org/officeDocument/2006/customXml" ds:itemID="{563E37AF-F10D-4F20-A44B-AA44B589FBF3}"/>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Sevilay Tacel</dc:creator>
  <cp:keywords/>
  <dc:description/>
  <cp:lastModifiedBy>Ayça Arifoğlu</cp:lastModifiedBy>
  <cp:revision>2</cp:revision>
  <cp:lastPrinted>2016-12-01T09:00:00Z</cp:lastPrinted>
  <dcterms:created xsi:type="dcterms:W3CDTF">2020-09-01T09:05:00Z</dcterms:created>
  <dcterms:modified xsi:type="dcterms:W3CDTF">2020-09-01T09:05:00Z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0x010100445E536D36E3B742B3898DB9FDD614D0</vt:lpwstr>
  </property>
</Properties>
</file>